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line="360" w:lineRule="auto"/>
        <w:jc w:val="center"/>
        <w:rPr>
          <w:rFonts w:hint="eastAsia"/>
          <w:sz w:val="32"/>
          <w:szCs w:val="32"/>
          <w:lang w:val="en-US" w:eastAsia="zh-CN"/>
        </w:rPr>
      </w:pPr>
      <w:r>
        <w:rPr>
          <w:rFonts w:hint="eastAsia"/>
          <w:sz w:val="32"/>
          <w:szCs w:val="32"/>
          <w:lang w:val="en-US" w:eastAsia="zh-CN"/>
        </w:rPr>
        <w:t>税务监测平台解决方案</w:t>
      </w:r>
    </w:p>
    <w:p>
      <w:pPr>
        <w:numPr>
          <w:ilvl w:val="0"/>
          <w:numId w:val="1"/>
        </w:numPr>
        <w:bidi w:val="0"/>
        <w:spacing w:line="360" w:lineRule="auto"/>
        <w:rPr>
          <w:rFonts w:hint="default"/>
          <w:sz w:val="24"/>
          <w:szCs w:val="24"/>
          <w:lang w:val="en-US" w:eastAsia="zh-CN"/>
        </w:rPr>
      </w:pPr>
      <w:r>
        <w:rPr>
          <w:rFonts w:hint="eastAsia"/>
          <w:sz w:val="24"/>
          <w:szCs w:val="24"/>
          <w:lang w:val="en-US" w:eastAsia="zh-CN"/>
        </w:rPr>
        <w:t>方案概要</w:t>
      </w:r>
    </w:p>
    <w:p>
      <w:pPr>
        <w:widowControl w:val="0"/>
        <w:numPr>
          <w:ilvl w:val="0"/>
          <w:numId w:val="0"/>
        </w:numPr>
        <w:bidi w:val="0"/>
        <w:spacing w:line="360" w:lineRule="auto"/>
        <w:ind w:firstLine="420" w:firstLineChars="0"/>
        <w:jc w:val="both"/>
        <w:rPr>
          <w:rFonts w:hint="eastAsia"/>
          <w:sz w:val="24"/>
          <w:szCs w:val="24"/>
          <w:lang w:val="en-US" w:eastAsia="zh-CN"/>
        </w:rPr>
      </w:pPr>
      <w:r>
        <w:rPr>
          <w:rFonts w:hint="eastAsia"/>
          <w:sz w:val="24"/>
          <w:szCs w:val="24"/>
          <w:lang w:val="en-US" w:eastAsia="zh-CN"/>
        </w:rPr>
        <w:t>本方案根据客户需求而制作，充分结合国家无车承运上报监测平台标准与客户自身特色需求提供解决方案。</w:t>
      </w:r>
    </w:p>
    <w:p>
      <w:pPr>
        <w:widowControl w:val="0"/>
        <w:numPr>
          <w:ilvl w:val="0"/>
          <w:numId w:val="0"/>
        </w:numPr>
        <w:bidi w:val="0"/>
        <w:spacing w:line="360" w:lineRule="auto"/>
        <w:ind w:firstLine="420" w:firstLineChars="0"/>
        <w:jc w:val="both"/>
        <w:rPr>
          <w:rFonts w:hint="eastAsia"/>
          <w:sz w:val="24"/>
          <w:szCs w:val="24"/>
          <w:lang w:val="en-US" w:eastAsia="zh-CN"/>
        </w:rPr>
      </w:pPr>
    </w:p>
    <w:p>
      <w:pPr>
        <w:widowControl w:val="0"/>
        <w:numPr>
          <w:ilvl w:val="0"/>
          <w:numId w:val="1"/>
        </w:numPr>
        <w:bidi w:val="0"/>
        <w:spacing w:line="360" w:lineRule="auto"/>
        <w:ind w:left="0" w:leftChars="0" w:firstLine="0" w:firstLineChars="0"/>
        <w:jc w:val="both"/>
        <w:rPr>
          <w:rFonts w:hint="default"/>
          <w:sz w:val="24"/>
          <w:szCs w:val="24"/>
          <w:lang w:val="en-US" w:eastAsia="zh-CN"/>
        </w:rPr>
      </w:pPr>
      <w:r>
        <w:rPr>
          <w:rFonts w:hint="eastAsia"/>
          <w:sz w:val="24"/>
          <w:szCs w:val="24"/>
          <w:lang w:val="en-US" w:eastAsia="zh-CN"/>
        </w:rPr>
        <w:t>建设目标</w:t>
      </w:r>
    </w:p>
    <w:p>
      <w:pPr>
        <w:widowControl w:val="0"/>
        <w:numPr>
          <w:ilvl w:val="0"/>
          <w:numId w:val="0"/>
        </w:numPr>
        <w:bidi w:val="0"/>
        <w:spacing w:line="360" w:lineRule="auto"/>
        <w:ind w:leftChars="0" w:firstLine="420" w:firstLineChars="0"/>
        <w:jc w:val="both"/>
        <w:rPr>
          <w:rFonts w:hint="default"/>
          <w:sz w:val="24"/>
          <w:szCs w:val="24"/>
          <w:lang w:val="en-US" w:eastAsia="zh-CN"/>
        </w:rPr>
      </w:pPr>
      <w:r>
        <w:rPr>
          <w:rFonts w:hint="eastAsia"/>
          <w:sz w:val="24"/>
          <w:szCs w:val="24"/>
          <w:lang w:val="en-US" w:eastAsia="zh-CN"/>
        </w:rPr>
        <w:t>按照客户需求，本项目的建设目标是以可接收无车承运企业数据上报及数据监测、监测评估、数据分析平台。</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接收上报数据功能（具体：合同、运单、资金流水、税票）</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根据车辆获取车辆定位、轨迹功能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税票识别功能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合同识别功能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司机资质验证功能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车辆资质验证功能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异常监测体系</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数据分析功能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分析评估体系</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用户管理功能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支付通道</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支付管理功能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开票功能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开票管理功能</w:t>
      </w:r>
    </w:p>
    <w:p>
      <w:pPr>
        <w:widowControl w:val="0"/>
        <w:numPr>
          <w:ilvl w:val="0"/>
          <w:numId w:val="2"/>
        </w:numPr>
        <w:bidi w:val="0"/>
        <w:spacing w:line="360" w:lineRule="auto"/>
        <w:ind w:left="0" w:leftChars="0" w:firstLine="420" w:firstLineChars="0"/>
        <w:jc w:val="both"/>
        <w:rPr>
          <w:rFonts w:hint="default"/>
          <w:sz w:val="24"/>
          <w:szCs w:val="24"/>
          <w:lang w:val="en-US" w:eastAsia="zh-CN"/>
        </w:rPr>
      </w:pPr>
      <w:r>
        <w:rPr>
          <w:rFonts w:hint="eastAsia"/>
          <w:sz w:val="24"/>
          <w:szCs w:val="24"/>
          <w:lang w:val="en-US" w:eastAsia="zh-CN"/>
        </w:rPr>
        <w:t>接口受权配置功能</w:t>
      </w:r>
    </w:p>
    <w:p>
      <w:pPr>
        <w:widowControl w:val="0"/>
        <w:numPr>
          <w:ilvl w:val="0"/>
          <w:numId w:val="0"/>
        </w:numPr>
        <w:bidi w:val="0"/>
        <w:spacing w:line="360" w:lineRule="auto"/>
        <w:ind w:left="420" w:leftChars="0"/>
        <w:jc w:val="both"/>
        <w:rPr>
          <w:rFonts w:hint="default"/>
          <w:sz w:val="24"/>
          <w:szCs w:val="24"/>
          <w:lang w:val="en-US" w:eastAsia="zh-CN"/>
        </w:rPr>
      </w:pPr>
    </w:p>
    <w:p>
      <w:pPr>
        <w:widowControl w:val="0"/>
        <w:numPr>
          <w:ilvl w:val="0"/>
          <w:numId w:val="1"/>
        </w:numPr>
        <w:bidi w:val="0"/>
        <w:spacing w:line="360" w:lineRule="auto"/>
        <w:ind w:left="0" w:leftChars="0" w:firstLine="0" w:firstLineChars="0"/>
        <w:jc w:val="both"/>
        <w:rPr>
          <w:rFonts w:hint="default"/>
          <w:sz w:val="24"/>
          <w:szCs w:val="24"/>
          <w:lang w:val="en-US" w:eastAsia="zh-CN"/>
        </w:rPr>
      </w:pPr>
      <w:r>
        <w:rPr>
          <w:rFonts w:hint="eastAsia"/>
          <w:sz w:val="24"/>
          <w:szCs w:val="24"/>
          <w:lang w:val="en-US" w:eastAsia="zh-CN"/>
        </w:rPr>
        <w:t>解决方案</w:t>
      </w:r>
    </w:p>
    <w:p>
      <w:pPr>
        <w:widowControl w:val="0"/>
        <w:numPr>
          <w:ilvl w:val="1"/>
          <w:numId w:val="1"/>
        </w:numPr>
        <w:bidi w:val="0"/>
        <w:spacing w:line="360" w:lineRule="auto"/>
        <w:ind w:left="210" w:leftChars="0" w:firstLine="0" w:firstLineChars="0"/>
        <w:jc w:val="both"/>
        <w:rPr>
          <w:rFonts w:hint="eastAsia"/>
          <w:sz w:val="24"/>
          <w:szCs w:val="24"/>
          <w:lang w:val="en-US" w:eastAsia="zh-CN"/>
        </w:rPr>
      </w:pPr>
      <w:r>
        <w:rPr>
          <w:rFonts w:hint="eastAsia"/>
          <w:sz w:val="24"/>
          <w:szCs w:val="24"/>
          <w:lang w:val="en-US" w:eastAsia="zh-CN"/>
        </w:rPr>
        <w:t>总体思路</w:t>
      </w:r>
    </w:p>
    <w:p>
      <w:pPr>
        <w:widowControl w:val="0"/>
        <w:numPr>
          <w:ilvl w:val="0"/>
          <w:numId w:val="0"/>
        </w:numPr>
        <w:bidi w:val="0"/>
        <w:spacing w:line="360" w:lineRule="auto"/>
        <w:ind w:left="210" w:leftChars="0"/>
        <w:jc w:val="both"/>
        <w:rPr>
          <w:rFonts w:hint="eastAsia"/>
          <w:sz w:val="24"/>
          <w:szCs w:val="24"/>
          <w:lang w:val="en-US" w:eastAsia="zh-CN"/>
        </w:rPr>
      </w:pPr>
      <w:r>
        <w:rPr>
          <w:rFonts w:hint="eastAsia"/>
          <w:sz w:val="24"/>
          <w:szCs w:val="24"/>
          <w:lang w:val="en-US" w:eastAsia="zh-CN"/>
        </w:rPr>
        <w:t>针对无车承运企业需统一上报数据至监测平台，平台具有接收用户上报数据功能，需向用户展示已上报数据，平台根据用户已上报的数据进行监测评估分析。在监测中需要验证用户上报数据真实性，用户可选择使用平台提供的统一基础数据服务，以接口受权的形式进行车辆轨迹定位（LBS定位）、生成电子合同（统一合同模板、电子签章）、支付运费、税务开票等功能进行。平台可根据用户上传的运单信息验证司机资质、车辆资质。平台统计用户已上报数据，从而进行多维度数据分析，分析结果将展示给用户和相关部门查看。</w:t>
      </w:r>
    </w:p>
    <w:p>
      <w:pPr>
        <w:widowControl w:val="0"/>
        <w:numPr>
          <w:ilvl w:val="0"/>
          <w:numId w:val="0"/>
        </w:numPr>
        <w:bidi w:val="0"/>
        <w:spacing w:line="360" w:lineRule="auto"/>
        <w:ind w:left="210" w:leftChars="0"/>
        <w:jc w:val="both"/>
        <w:rPr>
          <w:rFonts w:hint="eastAsia"/>
          <w:sz w:val="24"/>
          <w:szCs w:val="24"/>
          <w:lang w:val="en-US" w:eastAsia="zh-CN"/>
        </w:rPr>
      </w:pPr>
      <w:r>
        <w:rPr>
          <w:rFonts w:hint="eastAsia"/>
          <w:sz w:val="24"/>
          <w:szCs w:val="24"/>
          <w:lang w:val="en-US" w:eastAsia="zh-CN"/>
        </w:rPr>
        <w:t>产品架构图如下展示：</w:t>
      </w:r>
    </w:p>
    <w:p>
      <w:pPr>
        <w:widowControl w:val="0"/>
        <w:numPr>
          <w:ilvl w:val="0"/>
          <w:numId w:val="0"/>
        </w:numPr>
        <w:bidi w:val="0"/>
        <w:spacing w:line="360" w:lineRule="auto"/>
        <w:ind w:left="210" w:leftChars="0"/>
        <w:jc w:val="both"/>
        <w:rPr>
          <w:sz w:val="24"/>
          <w:szCs w:val="24"/>
        </w:rPr>
      </w:pPr>
      <w:r>
        <w:drawing>
          <wp:inline distT="0" distB="0" distL="114300" distR="114300">
            <wp:extent cx="5271770" cy="991235"/>
            <wp:effectExtent l="0" t="0" r="1270" b="1460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4"/>
                    <a:stretch>
                      <a:fillRect/>
                    </a:stretch>
                  </pic:blipFill>
                  <pic:spPr>
                    <a:xfrm>
                      <a:off x="0" y="0"/>
                      <a:ext cx="5271770" cy="991235"/>
                    </a:xfrm>
                    <a:prstGeom prst="rect">
                      <a:avLst/>
                    </a:prstGeom>
                    <a:noFill/>
                    <a:ln>
                      <a:noFill/>
                    </a:ln>
                  </pic:spPr>
                </pic:pic>
              </a:graphicData>
            </a:graphic>
          </wp:inline>
        </w:drawing>
      </w:r>
    </w:p>
    <w:p>
      <w:pPr>
        <w:widowControl w:val="0"/>
        <w:numPr>
          <w:ilvl w:val="0"/>
          <w:numId w:val="0"/>
        </w:numPr>
        <w:bidi w:val="0"/>
        <w:spacing w:line="360" w:lineRule="auto"/>
        <w:ind w:left="210" w:leftChars="0"/>
        <w:jc w:val="both"/>
        <w:rPr>
          <w:rFonts w:hint="eastAsia"/>
          <w:sz w:val="24"/>
          <w:szCs w:val="24"/>
          <w:lang w:val="en-US" w:eastAsia="zh-CN"/>
        </w:rPr>
      </w:pPr>
      <w:r>
        <w:rPr>
          <w:rFonts w:hint="eastAsia"/>
          <w:sz w:val="24"/>
          <w:szCs w:val="24"/>
          <w:lang w:val="en-US" w:eastAsia="zh-CN"/>
        </w:rPr>
        <w:t>监测平台分为：用户端、总管理后台、数据大屏，如下图展示：</w:t>
      </w:r>
    </w:p>
    <w:p>
      <w:pPr>
        <w:widowControl w:val="0"/>
        <w:numPr>
          <w:ilvl w:val="0"/>
          <w:numId w:val="0"/>
        </w:numPr>
        <w:bidi w:val="0"/>
        <w:spacing w:line="360" w:lineRule="auto"/>
        <w:ind w:left="210" w:leftChars="0"/>
        <w:jc w:val="both"/>
        <w:rPr>
          <w:rFonts w:hint="default"/>
          <w:sz w:val="24"/>
          <w:szCs w:val="24"/>
          <w:lang w:val="en-US" w:eastAsia="zh-CN"/>
        </w:rPr>
      </w:pPr>
      <w:r>
        <w:rPr>
          <w:rFonts w:hint="eastAsia"/>
          <w:sz w:val="24"/>
          <w:szCs w:val="24"/>
          <w:lang w:val="en-US" w:eastAsia="zh-CN"/>
        </w:rPr>
        <w:t xml:space="preserve"> </w:t>
      </w:r>
    </w:p>
    <w:p>
      <w:pPr>
        <w:widowControl w:val="0"/>
        <w:numPr>
          <w:ilvl w:val="0"/>
          <w:numId w:val="0"/>
        </w:numPr>
        <w:bidi w:val="0"/>
        <w:spacing w:line="360" w:lineRule="auto"/>
        <w:ind w:left="210" w:leftChars="0"/>
        <w:jc w:val="both"/>
        <w:rPr>
          <w:rFonts w:hint="default"/>
          <w:sz w:val="24"/>
          <w:szCs w:val="24"/>
          <w:lang w:val="en-US" w:eastAsia="zh-CN"/>
        </w:rPr>
      </w:pPr>
      <w:r>
        <w:drawing>
          <wp:inline distT="0" distB="0" distL="114300" distR="114300">
            <wp:extent cx="2701925" cy="1153795"/>
            <wp:effectExtent l="0" t="0" r="10795" b="444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5"/>
                    <a:stretch>
                      <a:fillRect/>
                    </a:stretch>
                  </pic:blipFill>
                  <pic:spPr>
                    <a:xfrm>
                      <a:off x="0" y="0"/>
                      <a:ext cx="2701925" cy="1153795"/>
                    </a:xfrm>
                    <a:prstGeom prst="rect">
                      <a:avLst/>
                    </a:prstGeom>
                    <a:noFill/>
                    <a:ln>
                      <a:noFill/>
                    </a:ln>
                  </pic:spPr>
                </pic:pic>
              </a:graphicData>
            </a:graphic>
          </wp:inline>
        </w:drawing>
      </w:r>
    </w:p>
    <w:p>
      <w:pPr>
        <w:widowControl w:val="0"/>
        <w:numPr>
          <w:ilvl w:val="1"/>
          <w:numId w:val="1"/>
        </w:numPr>
        <w:bidi w:val="0"/>
        <w:spacing w:line="360" w:lineRule="auto"/>
        <w:ind w:left="210" w:leftChars="0" w:firstLine="0" w:firstLineChars="0"/>
        <w:jc w:val="both"/>
        <w:rPr>
          <w:rFonts w:hint="eastAsia"/>
          <w:sz w:val="24"/>
          <w:szCs w:val="24"/>
          <w:lang w:val="en-US" w:eastAsia="zh-CN"/>
        </w:rPr>
      </w:pPr>
      <w:r>
        <w:rPr>
          <w:rFonts w:hint="eastAsia"/>
          <w:sz w:val="24"/>
          <w:szCs w:val="24"/>
          <w:lang w:val="en-US" w:eastAsia="zh-CN"/>
        </w:rPr>
        <w:t>角色说明</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6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6" w:type="dxa"/>
            <w:shd w:val="clear" w:color="auto" w:fill="323E4F" w:themeFill="text2" w:themeFillShade="BF"/>
            <w:vAlign w:val="center"/>
          </w:tcPr>
          <w:p>
            <w:pPr>
              <w:widowControl w:val="0"/>
              <w:numPr>
                <w:ilvl w:val="0"/>
                <w:numId w:val="0"/>
              </w:numPr>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角色</w:t>
            </w:r>
          </w:p>
        </w:tc>
        <w:tc>
          <w:tcPr>
            <w:tcW w:w="6836" w:type="dxa"/>
            <w:shd w:val="clear" w:color="auto" w:fill="323E4F" w:themeFill="text2" w:themeFillShade="BF"/>
            <w:vAlign w:val="center"/>
          </w:tcPr>
          <w:p>
            <w:pPr>
              <w:widowControl w:val="0"/>
              <w:numPr>
                <w:ilvl w:val="0"/>
                <w:numId w:val="0"/>
              </w:numPr>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用户描述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6" w:type="dxa"/>
            <w:vAlign w:val="center"/>
          </w:tcPr>
          <w:p>
            <w:pPr>
              <w:widowControl w:val="0"/>
              <w:numPr>
                <w:ilvl w:val="0"/>
                <w:numId w:val="0"/>
              </w:numPr>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无车承运企业</w:t>
            </w:r>
          </w:p>
        </w:tc>
        <w:tc>
          <w:tcPr>
            <w:tcW w:w="6836" w:type="dxa"/>
            <w:vAlign w:val="center"/>
          </w:tcPr>
          <w:p>
            <w:pPr>
              <w:widowControl w:val="0"/>
              <w:numPr>
                <w:ilvl w:val="0"/>
                <w:numId w:val="0"/>
              </w:numPr>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无车承运企业向本税务监测平台进行数据上报，并查看监测结果。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6" w:type="dxa"/>
            <w:vAlign w:val="center"/>
          </w:tcPr>
          <w:p>
            <w:pPr>
              <w:widowControl w:val="0"/>
              <w:numPr>
                <w:ilvl w:val="0"/>
                <w:numId w:val="0"/>
              </w:numPr>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相关监管部门</w:t>
            </w:r>
          </w:p>
        </w:tc>
        <w:tc>
          <w:tcPr>
            <w:tcW w:w="6836" w:type="dxa"/>
            <w:vAlign w:val="center"/>
          </w:tcPr>
          <w:p>
            <w:pPr>
              <w:widowControl w:val="0"/>
              <w:numPr>
                <w:ilvl w:val="0"/>
                <w:numId w:val="0"/>
              </w:numPr>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针对交通、财务、税务局等监管部门提供展示数据大屏。</w:t>
            </w:r>
          </w:p>
        </w:tc>
      </w:tr>
    </w:tbl>
    <w:p>
      <w:pPr>
        <w:widowControl w:val="0"/>
        <w:numPr>
          <w:ilvl w:val="0"/>
          <w:numId w:val="0"/>
        </w:numPr>
        <w:bidi w:val="0"/>
        <w:spacing w:line="360" w:lineRule="auto"/>
        <w:jc w:val="both"/>
        <w:rPr>
          <w:rFonts w:hint="default"/>
          <w:sz w:val="24"/>
          <w:szCs w:val="24"/>
          <w:lang w:val="en-US" w:eastAsia="zh-CN"/>
        </w:rPr>
      </w:pPr>
    </w:p>
    <w:p>
      <w:pPr>
        <w:widowControl w:val="0"/>
        <w:numPr>
          <w:ilvl w:val="1"/>
          <w:numId w:val="1"/>
        </w:numPr>
        <w:bidi w:val="0"/>
        <w:spacing w:line="360" w:lineRule="auto"/>
        <w:ind w:left="210" w:leftChars="0" w:firstLine="0" w:firstLineChars="0"/>
        <w:jc w:val="both"/>
        <w:rPr>
          <w:rFonts w:hint="eastAsia"/>
          <w:sz w:val="24"/>
          <w:szCs w:val="24"/>
          <w:lang w:val="en-US" w:eastAsia="zh-CN"/>
        </w:rPr>
      </w:pPr>
      <w:r>
        <w:rPr>
          <w:rFonts w:hint="eastAsia"/>
          <w:sz w:val="24"/>
          <w:szCs w:val="24"/>
          <w:lang w:val="en-US" w:eastAsia="zh-CN"/>
        </w:rPr>
        <w:t>产品业务流程图</w:t>
      </w:r>
    </w:p>
    <w:p>
      <w:pPr>
        <w:widowControl w:val="0"/>
        <w:numPr>
          <w:ilvl w:val="0"/>
          <w:numId w:val="0"/>
        </w:numPr>
        <w:bidi w:val="0"/>
        <w:spacing w:line="360" w:lineRule="auto"/>
        <w:jc w:val="both"/>
        <w:rPr>
          <w:rFonts w:hint="eastAsia"/>
          <w:sz w:val="24"/>
          <w:szCs w:val="24"/>
          <w:lang w:val="en-US" w:eastAsia="zh-CN"/>
        </w:rPr>
      </w:pPr>
      <w:r>
        <w:rPr>
          <w:rFonts w:hint="eastAsia"/>
          <w:sz w:val="24"/>
          <w:szCs w:val="24"/>
          <w:lang w:val="en-US" w:eastAsia="zh-CN"/>
        </w:rPr>
        <w:drawing>
          <wp:inline distT="0" distB="0" distL="114300" distR="114300">
            <wp:extent cx="5271135" cy="8474710"/>
            <wp:effectExtent l="0" t="0" r="0" b="0"/>
            <wp:docPr id="2" name="图片 2" descr="业务流程 修订版V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业务流程 修订版V1.1"/>
                    <pic:cNvPicPr>
                      <a:picLocks noChangeAspect="1"/>
                    </pic:cNvPicPr>
                  </pic:nvPicPr>
                  <pic:blipFill>
                    <a:blip r:embed="rId6"/>
                    <a:stretch>
                      <a:fillRect/>
                    </a:stretch>
                  </pic:blipFill>
                  <pic:spPr>
                    <a:xfrm>
                      <a:off x="0" y="0"/>
                      <a:ext cx="5271135" cy="8474710"/>
                    </a:xfrm>
                    <a:prstGeom prst="rect">
                      <a:avLst/>
                    </a:prstGeom>
                  </pic:spPr>
                </pic:pic>
              </a:graphicData>
            </a:graphic>
          </wp:inline>
        </w:drawing>
      </w:r>
    </w:p>
    <w:p>
      <w:pPr>
        <w:widowControl w:val="0"/>
        <w:numPr>
          <w:ilvl w:val="0"/>
          <w:numId w:val="0"/>
        </w:numPr>
        <w:bidi w:val="0"/>
        <w:spacing w:line="360" w:lineRule="auto"/>
        <w:jc w:val="both"/>
        <w:rPr>
          <w:rFonts w:hint="default"/>
          <w:sz w:val="24"/>
          <w:szCs w:val="24"/>
          <w:lang w:val="en-US" w:eastAsia="zh-CN"/>
        </w:rPr>
      </w:pPr>
      <w:bookmarkStart w:id="1" w:name="_GoBack"/>
      <w:bookmarkEnd w:id="1"/>
    </w:p>
    <w:p>
      <w:pPr>
        <w:widowControl w:val="0"/>
        <w:numPr>
          <w:ilvl w:val="1"/>
          <w:numId w:val="1"/>
        </w:numPr>
        <w:bidi w:val="0"/>
        <w:spacing w:line="360" w:lineRule="auto"/>
        <w:ind w:left="210" w:leftChars="0" w:firstLine="0" w:firstLineChars="0"/>
        <w:jc w:val="both"/>
        <w:rPr>
          <w:rFonts w:hint="eastAsia"/>
          <w:sz w:val="24"/>
          <w:szCs w:val="24"/>
          <w:lang w:val="en-US" w:eastAsia="zh-CN"/>
        </w:rPr>
      </w:pPr>
      <w:r>
        <w:rPr>
          <w:rFonts w:hint="eastAsia"/>
          <w:sz w:val="24"/>
          <w:szCs w:val="24"/>
          <w:lang w:val="en-US" w:eastAsia="zh-CN"/>
        </w:rPr>
        <w:t>用户操作流程</w:t>
      </w:r>
    </w:p>
    <w:p>
      <w:pPr>
        <w:widowControl w:val="0"/>
        <w:numPr>
          <w:ilvl w:val="0"/>
          <w:numId w:val="0"/>
        </w:numPr>
        <w:bidi w:val="0"/>
        <w:spacing w:line="360" w:lineRule="auto"/>
        <w:ind w:left="210" w:leftChars="0"/>
        <w:jc w:val="both"/>
        <w:rPr>
          <w:rFonts w:hint="default"/>
          <w:sz w:val="24"/>
          <w:szCs w:val="24"/>
          <w:lang w:val="en-US" w:eastAsia="zh-CN"/>
        </w:rPr>
      </w:pPr>
    </w:p>
    <w:p>
      <w:pPr>
        <w:widowControl w:val="0"/>
        <w:numPr>
          <w:ilvl w:val="0"/>
          <w:numId w:val="0"/>
        </w:numPr>
        <w:bidi w:val="0"/>
        <w:spacing w:line="360" w:lineRule="auto"/>
        <w:ind w:left="210" w:leftChars="0"/>
        <w:jc w:val="both"/>
        <w:rPr>
          <w:rFonts w:hint="default"/>
          <w:sz w:val="24"/>
          <w:szCs w:val="24"/>
          <w:lang w:val="en-US" w:eastAsia="zh-CN"/>
        </w:rPr>
      </w:pPr>
      <w:r>
        <w:rPr>
          <w:rFonts w:hint="default"/>
          <w:sz w:val="24"/>
          <w:szCs w:val="24"/>
          <w:lang w:val="en-US" w:eastAsia="zh-CN"/>
        </w:rPr>
        <w:drawing>
          <wp:inline distT="0" distB="0" distL="114300" distR="114300">
            <wp:extent cx="4469130" cy="6247765"/>
            <wp:effectExtent l="0" t="0" r="0" b="0"/>
            <wp:docPr id="16" name="图片 16" descr="用户操作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用户操作流程"/>
                    <pic:cNvPicPr>
                      <a:picLocks noChangeAspect="1"/>
                    </pic:cNvPicPr>
                  </pic:nvPicPr>
                  <pic:blipFill>
                    <a:blip r:embed="rId7"/>
                    <a:stretch>
                      <a:fillRect/>
                    </a:stretch>
                  </pic:blipFill>
                  <pic:spPr>
                    <a:xfrm>
                      <a:off x="0" y="0"/>
                      <a:ext cx="4469130" cy="6247765"/>
                    </a:xfrm>
                    <a:prstGeom prst="rect">
                      <a:avLst/>
                    </a:prstGeom>
                  </pic:spPr>
                </pic:pic>
              </a:graphicData>
            </a:graphic>
          </wp:inline>
        </w:drawing>
      </w:r>
    </w:p>
    <w:p>
      <w:pPr>
        <w:widowControl w:val="0"/>
        <w:numPr>
          <w:ilvl w:val="0"/>
          <w:numId w:val="0"/>
        </w:numPr>
        <w:bidi w:val="0"/>
        <w:spacing w:line="360" w:lineRule="auto"/>
        <w:ind w:left="210" w:leftChars="0"/>
        <w:jc w:val="both"/>
        <w:rPr>
          <w:rFonts w:hint="default"/>
          <w:sz w:val="24"/>
          <w:szCs w:val="24"/>
          <w:lang w:val="en-US" w:eastAsia="zh-CN"/>
        </w:rPr>
      </w:pPr>
    </w:p>
    <w:p>
      <w:pPr>
        <w:widowControl w:val="0"/>
        <w:numPr>
          <w:ilvl w:val="1"/>
          <w:numId w:val="1"/>
        </w:numPr>
        <w:bidi w:val="0"/>
        <w:spacing w:line="360" w:lineRule="auto"/>
        <w:ind w:left="210" w:leftChars="0" w:firstLine="0" w:firstLineChars="0"/>
        <w:jc w:val="both"/>
        <w:rPr>
          <w:rFonts w:hint="default"/>
          <w:sz w:val="24"/>
          <w:szCs w:val="24"/>
          <w:lang w:val="en-US" w:eastAsia="zh-CN"/>
        </w:rPr>
      </w:pPr>
      <w:r>
        <w:rPr>
          <w:rFonts w:hint="eastAsia"/>
          <w:sz w:val="24"/>
          <w:szCs w:val="24"/>
          <w:lang w:val="en-US" w:eastAsia="zh-CN"/>
        </w:rPr>
        <w:t>产品结构图（用户端）</w:t>
      </w:r>
    </w:p>
    <w:p>
      <w:pPr>
        <w:widowControl w:val="0"/>
        <w:numPr>
          <w:ilvl w:val="0"/>
          <w:numId w:val="0"/>
        </w:numPr>
        <w:bidi w:val="0"/>
        <w:spacing w:line="360" w:lineRule="auto"/>
        <w:ind w:left="210" w:leftChars="0"/>
        <w:jc w:val="both"/>
        <w:rPr>
          <w:rFonts w:hint="default"/>
          <w:sz w:val="24"/>
          <w:szCs w:val="24"/>
          <w:lang w:val="en-US" w:eastAsia="zh-CN"/>
        </w:rPr>
      </w:pPr>
      <w:r>
        <w:drawing>
          <wp:inline distT="0" distB="0" distL="114300" distR="114300">
            <wp:extent cx="4210050" cy="50196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210050" cy="5019675"/>
                    </a:xfrm>
                    <a:prstGeom prst="rect">
                      <a:avLst/>
                    </a:prstGeom>
                    <a:noFill/>
                    <a:ln>
                      <a:noFill/>
                    </a:ln>
                  </pic:spPr>
                </pic:pic>
              </a:graphicData>
            </a:graphic>
          </wp:inline>
        </w:drawing>
      </w:r>
    </w:p>
    <w:p>
      <w:pPr>
        <w:widowControl w:val="0"/>
        <w:numPr>
          <w:ilvl w:val="1"/>
          <w:numId w:val="1"/>
        </w:numPr>
        <w:bidi w:val="0"/>
        <w:spacing w:line="360" w:lineRule="auto"/>
        <w:ind w:left="210" w:leftChars="0" w:firstLine="0" w:firstLineChars="0"/>
        <w:jc w:val="both"/>
        <w:rPr>
          <w:rFonts w:hint="default"/>
          <w:sz w:val="24"/>
          <w:szCs w:val="24"/>
          <w:lang w:val="en-US" w:eastAsia="zh-CN"/>
        </w:rPr>
      </w:pPr>
      <w:r>
        <w:rPr>
          <w:rFonts w:hint="eastAsia"/>
          <w:sz w:val="24"/>
          <w:szCs w:val="24"/>
          <w:lang w:val="en-US" w:eastAsia="zh-CN"/>
        </w:rPr>
        <w:t>产品结构图（总管理后台）</w:t>
      </w:r>
    </w:p>
    <w:p>
      <w:pPr>
        <w:widowControl w:val="0"/>
        <w:numPr>
          <w:ilvl w:val="0"/>
          <w:numId w:val="0"/>
        </w:numPr>
        <w:bidi w:val="0"/>
        <w:spacing w:line="360" w:lineRule="auto"/>
        <w:ind w:leftChars="0"/>
        <w:jc w:val="both"/>
        <w:rPr>
          <w:rFonts w:hint="eastAsia"/>
          <w:sz w:val="24"/>
          <w:szCs w:val="24"/>
          <w:lang w:val="en-US" w:eastAsia="zh-CN"/>
        </w:rPr>
      </w:pPr>
      <w:r>
        <w:drawing>
          <wp:inline distT="0" distB="0" distL="114300" distR="114300">
            <wp:extent cx="4221480" cy="5852160"/>
            <wp:effectExtent l="0" t="0" r="0" b="0"/>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pic:cNvPicPr>
                      <a:picLocks noChangeAspect="1"/>
                    </pic:cNvPicPr>
                  </pic:nvPicPr>
                  <pic:blipFill>
                    <a:blip r:embed="rId9"/>
                    <a:stretch>
                      <a:fillRect/>
                    </a:stretch>
                  </pic:blipFill>
                  <pic:spPr>
                    <a:xfrm>
                      <a:off x="0" y="0"/>
                      <a:ext cx="4221480" cy="5852160"/>
                    </a:xfrm>
                    <a:prstGeom prst="rect">
                      <a:avLst/>
                    </a:prstGeom>
                    <a:noFill/>
                    <a:ln>
                      <a:noFill/>
                    </a:ln>
                  </pic:spPr>
                </pic:pic>
              </a:graphicData>
            </a:graphic>
          </wp:inline>
        </w:drawing>
      </w:r>
    </w:p>
    <w:p>
      <w:pPr>
        <w:widowControl w:val="0"/>
        <w:numPr>
          <w:ilvl w:val="0"/>
          <w:numId w:val="0"/>
        </w:numPr>
        <w:bidi w:val="0"/>
        <w:spacing w:line="360" w:lineRule="auto"/>
        <w:ind w:leftChars="0"/>
        <w:jc w:val="both"/>
        <w:rPr>
          <w:rFonts w:hint="default"/>
          <w:sz w:val="24"/>
          <w:szCs w:val="24"/>
          <w:lang w:val="en-US" w:eastAsia="zh-CN"/>
        </w:rPr>
      </w:pPr>
    </w:p>
    <w:p>
      <w:pPr>
        <w:widowControl w:val="0"/>
        <w:numPr>
          <w:ilvl w:val="1"/>
          <w:numId w:val="1"/>
        </w:numPr>
        <w:bidi w:val="0"/>
        <w:spacing w:line="360" w:lineRule="auto"/>
        <w:ind w:left="210" w:leftChars="0" w:firstLine="0" w:firstLineChars="0"/>
        <w:jc w:val="both"/>
        <w:rPr>
          <w:rFonts w:hint="default"/>
          <w:sz w:val="24"/>
          <w:szCs w:val="24"/>
          <w:lang w:val="en-US" w:eastAsia="zh-CN"/>
        </w:rPr>
      </w:pPr>
      <w:r>
        <w:rPr>
          <w:rFonts w:hint="eastAsia"/>
          <w:sz w:val="24"/>
          <w:szCs w:val="24"/>
          <w:lang w:val="en-US" w:eastAsia="zh-CN"/>
        </w:rPr>
        <w:t>产品结构图（数据大屏）</w:t>
      </w:r>
    </w:p>
    <w:p>
      <w:pPr>
        <w:widowControl w:val="0"/>
        <w:numPr>
          <w:ilvl w:val="0"/>
          <w:numId w:val="0"/>
        </w:numPr>
        <w:bidi w:val="0"/>
        <w:spacing w:line="360" w:lineRule="auto"/>
        <w:jc w:val="both"/>
      </w:pPr>
      <w:r>
        <w:drawing>
          <wp:inline distT="0" distB="0" distL="114300" distR="114300">
            <wp:extent cx="2887980" cy="1203960"/>
            <wp:effectExtent l="0" t="0" r="7620" b="0"/>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pic:cNvPicPr>
                  </pic:nvPicPr>
                  <pic:blipFill>
                    <a:blip r:embed="rId10"/>
                    <a:stretch>
                      <a:fillRect/>
                    </a:stretch>
                  </pic:blipFill>
                  <pic:spPr>
                    <a:xfrm>
                      <a:off x="0" y="0"/>
                      <a:ext cx="2887980" cy="1203960"/>
                    </a:xfrm>
                    <a:prstGeom prst="rect">
                      <a:avLst/>
                    </a:prstGeom>
                    <a:noFill/>
                    <a:ln>
                      <a:noFill/>
                    </a:ln>
                  </pic:spPr>
                </pic:pic>
              </a:graphicData>
            </a:graphic>
          </wp:inline>
        </w:drawing>
      </w:r>
    </w:p>
    <w:p>
      <w:pPr>
        <w:widowControl w:val="0"/>
        <w:numPr>
          <w:ilvl w:val="0"/>
          <w:numId w:val="0"/>
        </w:numPr>
        <w:bidi w:val="0"/>
        <w:spacing w:line="360" w:lineRule="auto"/>
        <w:jc w:val="both"/>
        <w:rPr>
          <w:rFonts w:hint="default" w:eastAsiaTheme="minorEastAsia"/>
          <w:lang w:val="en-US" w:eastAsia="zh-CN"/>
        </w:rPr>
      </w:pPr>
    </w:p>
    <w:p>
      <w:pPr>
        <w:widowControl w:val="0"/>
        <w:numPr>
          <w:ilvl w:val="0"/>
          <w:numId w:val="1"/>
        </w:numPr>
        <w:bidi w:val="0"/>
        <w:spacing w:line="360" w:lineRule="auto"/>
        <w:ind w:left="0" w:leftChars="0" w:firstLine="0" w:firstLineChars="0"/>
        <w:jc w:val="both"/>
        <w:rPr>
          <w:rFonts w:hint="eastAsia"/>
          <w:lang w:val="en-US" w:eastAsia="zh-CN"/>
        </w:rPr>
      </w:pPr>
      <w:r>
        <w:rPr>
          <w:rFonts w:hint="eastAsia"/>
          <w:lang w:val="en-US" w:eastAsia="zh-CN"/>
        </w:rPr>
        <w:t>客户需求点解决方案</w:t>
      </w:r>
    </w:p>
    <w:p>
      <w:pPr>
        <w:widowControl w:val="0"/>
        <w:numPr>
          <w:ilvl w:val="0"/>
          <w:numId w:val="3"/>
        </w:numPr>
        <w:bidi w:val="0"/>
        <w:spacing w:line="360" w:lineRule="auto"/>
        <w:ind w:left="0" w:leftChars="0" w:firstLine="420" w:firstLineChars="0"/>
        <w:jc w:val="both"/>
        <w:rPr>
          <w:rFonts w:hint="eastAsia"/>
          <w:lang w:val="en-US" w:eastAsia="zh-CN"/>
        </w:rPr>
      </w:pPr>
      <w:r>
        <w:rPr>
          <w:rFonts w:hint="eastAsia"/>
          <w:lang w:val="en-US" w:eastAsia="zh-CN"/>
        </w:rPr>
        <w:t>需求：接收上报数据能力（1.1）</w:t>
      </w:r>
    </w:p>
    <w:p>
      <w:pPr>
        <w:widowControl w:val="0"/>
        <w:numPr>
          <w:ilvl w:val="0"/>
          <w:numId w:val="0"/>
        </w:numPr>
        <w:bidi w:val="0"/>
        <w:spacing w:line="360" w:lineRule="auto"/>
        <w:ind w:left="420" w:leftChars="0" w:firstLine="420" w:firstLineChars="0"/>
        <w:jc w:val="both"/>
        <w:rPr>
          <w:rFonts w:hint="default"/>
          <w:lang w:val="en-US" w:eastAsia="zh-CN"/>
        </w:rPr>
      </w:pPr>
      <w:r>
        <w:rPr>
          <w:rFonts w:hint="eastAsia"/>
          <w:lang w:val="en-US" w:eastAsia="zh-CN"/>
        </w:rPr>
        <w:t>解决方案：对用户(监测平台用户：无车承运企业，以下文档中都简称为“用户”）</w:t>
      </w:r>
    </w:p>
    <w:p>
      <w:pPr>
        <w:widowControl w:val="0"/>
        <w:numPr>
          <w:ilvl w:val="0"/>
          <w:numId w:val="0"/>
        </w:numPr>
        <w:bidi w:val="0"/>
        <w:spacing w:line="360" w:lineRule="auto"/>
        <w:ind w:left="420" w:leftChars="0" w:firstLine="420" w:firstLineChars="0"/>
        <w:jc w:val="both"/>
        <w:rPr>
          <w:rFonts w:hint="eastAsia"/>
          <w:lang w:val="en-US" w:eastAsia="zh-CN"/>
        </w:rPr>
      </w:pPr>
      <w:r>
        <w:rPr>
          <w:rFonts w:hint="eastAsia"/>
          <w:lang w:val="en-US" w:eastAsia="zh-CN"/>
        </w:rPr>
        <w:t>提供API上报接口，可使用接口将数据实时上报至监测平台。</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需求：车辆定位能力（1.2）</w:t>
      </w:r>
    </w:p>
    <w:p>
      <w:pPr>
        <w:widowControl w:val="0"/>
        <w:numPr>
          <w:ilvl w:val="0"/>
          <w:numId w:val="0"/>
        </w:numPr>
        <w:bidi w:val="0"/>
        <w:spacing w:line="360" w:lineRule="auto"/>
        <w:ind w:leftChars="0" w:firstLine="420" w:firstLineChars="0"/>
        <w:jc w:val="both"/>
        <w:rPr>
          <w:rFonts w:hint="default"/>
          <w:lang w:val="en-US" w:eastAsia="zh-CN"/>
        </w:rPr>
      </w:pPr>
      <w:r>
        <w:rPr>
          <w:rFonts w:hint="eastAsia"/>
          <w:lang w:val="en-US" w:eastAsia="zh-CN"/>
        </w:rPr>
        <w:t>解决方案：</w:t>
      </w:r>
      <w:bookmarkStart w:id="0" w:name="OLE_LINK1"/>
      <w:r>
        <w:rPr>
          <w:rFonts w:hint="eastAsia"/>
          <w:lang w:val="en-US" w:eastAsia="zh-CN"/>
        </w:rPr>
        <w:t>根据用户上传运单中车牌号、收发地、收发时间进行轨迹查询。</w:t>
      </w:r>
    </w:p>
    <w:bookmarkEnd w:id="0"/>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需求：合同识别（2.1）</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解决方案1：使用监测平台提供的合同模板进行线下签订合同再上传，监测平台自动识别。</w:t>
      </w:r>
    </w:p>
    <w:p>
      <w:pPr>
        <w:widowControl w:val="0"/>
        <w:numPr>
          <w:ilvl w:val="0"/>
          <w:numId w:val="0"/>
        </w:numPr>
        <w:bidi w:val="0"/>
        <w:spacing w:line="360" w:lineRule="auto"/>
        <w:ind w:leftChars="0" w:firstLine="420" w:firstLineChars="0"/>
        <w:jc w:val="both"/>
        <w:rPr>
          <w:rFonts w:hint="default"/>
          <w:lang w:val="en-US" w:eastAsia="zh-CN"/>
        </w:rPr>
      </w:pPr>
      <w:r>
        <w:rPr>
          <w:rFonts w:hint="eastAsia"/>
          <w:lang w:val="en-US" w:eastAsia="zh-CN"/>
        </w:rPr>
        <w:t>解决方案2：使用监测平台提供的合同模板和第三方电子签章接口，线上签订合同。</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需求：司机、车辆资质风险识别（2.2.1）</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 xml:space="preserve">解决方案：1.可提供身份证有效识别   2.可提供车辆入网验证   3.可提供司机驾驶证有效识别   4.可提供车辆营运证有效识别  5.可提供司机从业资格证有效识别  </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需求：运单真实性识别（2.2.2）</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解决方案：a.轨迹同1.2需求。b.资金流水信息上传</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需求：票务识别（2.3）</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解决方案1：用户上传税票信息，可通过票务系统验证税票真实性。</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解决方案2：用户使用监测平台提供的开票系统接口进行开票。</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需求：电子签章接口（3.1）</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解决方案：提供统一的电子签章接口给用户。</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需求：手机定位接口（3.2）</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解决方案：提供统一LBS定位接口给用户。</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需求：支付通道（3.3）</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解决方案：将已对接的第三方支付平台为每个企业独立开户，监测平台统一管理，用户需要支付运费，需向平台申请支付，平台接到申请支付请求后处理支付。</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需求：开票功能（3.4）</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解决方案：将已对接的开票系统平台为每个企业分为对接，监测平台统一管理，用户需要开票，需向平台申请开票，平台接到申请开票请求后处理开票。</w:t>
      </w:r>
    </w:p>
    <w:p>
      <w:pPr>
        <w:widowControl w:val="0"/>
        <w:numPr>
          <w:ilvl w:val="0"/>
          <w:numId w:val="3"/>
        </w:numPr>
        <w:bidi w:val="0"/>
        <w:spacing w:line="360" w:lineRule="auto"/>
        <w:ind w:left="420" w:leftChars="0" w:hanging="420" w:firstLineChars="0"/>
        <w:jc w:val="both"/>
        <w:rPr>
          <w:rFonts w:hint="default"/>
          <w:lang w:val="en-US" w:eastAsia="zh-CN"/>
        </w:rPr>
      </w:pPr>
      <w:r>
        <w:rPr>
          <w:rFonts w:hint="eastAsia"/>
          <w:lang w:val="en-US" w:eastAsia="zh-CN"/>
        </w:rPr>
        <w:t>需求：数据大屏（4）</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解决方案：根据用户上传的数据进行多维度分析，将用户进行企业风险排名，且将所有上报数据做分析统计。</w:t>
      </w:r>
    </w:p>
    <w:p>
      <w:pPr>
        <w:widowControl w:val="0"/>
        <w:numPr>
          <w:ilvl w:val="0"/>
          <w:numId w:val="3"/>
        </w:numPr>
        <w:bidi w:val="0"/>
        <w:spacing w:line="360" w:lineRule="auto"/>
        <w:ind w:left="420" w:leftChars="0" w:hanging="420" w:firstLineChars="0"/>
        <w:jc w:val="both"/>
        <w:rPr>
          <w:rFonts w:hint="eastAsia"/>
          <w:lang w:val="en-US" w:eastAsia="zh-CN"/>
        </w:rPr>
      </w:pPr>
      <w:r>
        <w:rPr>
          <w:rFonts w:hint="eastAsia"/>
          <w:lang w:val="en-US" w:eastAsia="zh-CN"/>
        </w:rPr>
        <w:t>需求：风险项（附1）</w:t>
      </w:r>
    </w:p>
    <w:p>
      <w:pPr>
        <w:widowControl w:val="0"/>
        <w:numPr>
          <w:ilvl w:val="0"/>
          <w:numId w:val="0"/>
        </w:numPr>
        <w:bidi w:val="0"/>
        <w:spacing w:line="360" w:lineRule="auto"/>
        <w:ind w:leftChars="0" w:firstLine="420" w:firstLineChars="0"/>
        <w:jc w:val="both"/>
        <w:rPr>
          <w:rFonts w:hint="eastAsia"/>
          <w:lang w:val="en-US" w:eastAsia="zh-CN"/>
        </w:rPr>
      </w:pPr>
      <w:r>
        <w:rPr>
          <w:rFonts w:hint="eastAsia"/>
          <w:lang w:val="en-US" w:eastAsia="zh-CN"/>
        </w:rPr>
        <w:t>解决方案：根据风险项做出风险评估指标，给指标配置风险级别，用户触发风险项后将数据统计到评分体系中，最终将得出用户风险等级以及用户风险等级排名。</w:t>
      </w:r>
    </w:p>
    <w:p>
      <w:pPr>
        <w:widowControl w:val="0"/>
        <w:numPr>
          <w:ilvl w:val="0"/>
          <w:numId w:val="0"/>
        </w:numPr>
        <w:bidi w:val="0"/>
        <w:spacing w:line="360" w:lineRule="auto"/>
        <w:ind w:leftChars="0"/>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663379"/>
    <w:multiLevelType w:val="singleLevel"/>
    <w:tmpl w:val="E4663379"/>
    <w:lvl w:ilvl="0" w:tentative="0">
      <w:start w:val="1"/>
      <w:numFmt w:val="bullet"/>
      <w:lvlText w:val=""/>
      <w:lvlJc w:val="left"/>
      <w:pPr>
        <w:ind w:left="420" w:hanging="420"/>
      </w:pPr>
      <w:rPr>
        <w:rFonts w:hint="default" w:ascii="Wingdings" w:hAnsi="Wingdings"/>
      </w:rPr>
    </w:lvl>
  </w:abstractNum>
  <w:abstractNum w:abstractNumId="1">
    <w:nsid w:val="22C14F9D"/>
    <w:multiLevelType w:val="singleLevel"/>
    <w:tmpl w:val="22C14F9D"/>
    <w:lvl w:ilvl="0" w:tentative="0">
      <w:start w:val="1"/>
      <w:numFmt w:val="bullet"/>
      <w:lvlText w:val=""/>
      <w:lvlJc w:val="left"/>
      <w:pPr>
        <w:ind w:left="420" w:hanging="420"/>
      </w:pPr>
      <w:rPr>
        <w:rFonts w:hint="default" w:ascii="Wingdings" w:hAnsi="Wingdings"/>
      </w:rPr>
    </w:lvl>
  </w:abstractNum>
  <w:abstractNum w:abstractNumId="2">
    <w:nsid w:val="4BEF0C39"/>
    <w:multiLevelType w:val="multilevel"/>
    <w:tmpl w:val="4BEF0C39"/>
    <w:lvl w:ilvl="0" w:tentative="0">
      <w:start w:val="1"/>
      <w:numFmt w:val="decimal"/>
      <w:lvlText w:val="%1."/>
      <w:lvlJc w:val="left"/>
      <w:pPr>
        <w:tabs>
          <w:tab w:val="left" w:pos="312"/>
        </w:tabs>
      </w:pPr>
    </w:lvl>
    <w:lvl w:ilvl="1" w:tentative="0">
      <w:start w:val="1"/>
      <w:numFmt w:val="decimal"/>
      <w:suff w:val="space"/>
      <w:lvlText w:val="%1.%2"/>
      <w:lvlJc w:val="left"/>
      <w:pPr>
        <w:ind w:left="210" w:leftChars="0" w:firstLine="0" w:firstLineChars="0"/>
      </w:pPr>
      <w:rPr>
        <w:rFonts w:hint="default"/>
      </w:rPr>
    </w:lvl>
    <w:lvl w:ilvl="2" w:tentative="0">
      <w:start w:val="1"/>
      <w:numFmt w:val="decimal"/>
      <w:suff w:val="space"/>
      <w:lvlText w:val="%1.%2.%3"/>
      <w:lvlJc w:val="left"/>
      <w:pPr>
        <w:ind w:left="210" w:leftChars="0" w:firstLine="0" w:firstLineChars="0"/>
      </w:pPr>
      <w:rPr>
        <w:rFonts w:hint="default"/>
      </w:rPr>
    </w:lvl>
    <w:lvl w:ilvl="3" w:tentative="0">
      <w:start w:val="1"/>
      <w:numFmt w:val="decimal"/>
      <w:suff w:val="space"/>
      <w:lvlText w:val="%1.%2.%3.%4"/>
      <w:lvlJc w:val="left"/>
      <w:pPr>
        <w:ind w:left="210" w:leftChars="0" w:firstLine="0" w:firstLineChars="0"/>
      </w:pPr>
      <w:rPr>
        <w:rFonts w:hint="default"/>
      </w:rPr>
    </w:lvl>
    <w:lvl w:ilvl="4" w:tentative="0">
      <w:start w:val="1"/>
      <w:numFmt w:val="decimal"/>
      <w:suff w:val="space"/>
      <w:lvlText w:val="%1.%2.%3.%4.%5"/>
      <w:lvlJc w:val="left"/>
      <w:pPr>
        <w:ind w:left="210" w:leftChars="0" w:firstLine="0" w:firstLineChars="0"/>
      </w:pPr>
      <w:rPr>
        <w:rFonts w:hint="default"/>
      </w:rPr>
    </w:lvl>
    <w:lvl w:ilvl="5" w:tentative="0">
      <w:start w:val="1"/>
      <w:numFmt w:val="decimal"/>
      <w:suff w:val="space"/>
      <w:lvlText w:val="%1.%2.%3.%4.%5.%6"/>
      <w:lvlJc w:val="left"/>
      <w:pPr>
        <w:ind w:left="210" w:leftChars="0" w:firstLine="0" w:firstLineChars="0"/>
      </w:pPr>
      <w:rPr>
        <w:rFonts w:hint="default"/>
      </w:rPr>
    </w:lvl>
    <w:lvl w:ilvl="6" w:tentative="0">
      <w:start w:val="1"/>
      <w:numFmt w:val="decimal"/>
      <w:suff w:val="space"/>
      <w:lvlText w:val="%1.%2.%3.%4.%5.%6.%7"/>
      <w:lvlJc w:val="left"/>
      <w:pPr>
        <w:ind w:left="210" w:leftChars="0" w:firstLine="0" w:firstLineChars="0"/>
      </w:pPr>
      <w:rPr>
        <w:rFonts w:hint="default"/>
      </w:rPr>
    </w:lvl>
    <w:lvl w:ilvl="7" w:tentative="0">
      <w:start w:val="1"/>
      <w:numFmt w:val="decimal"/>
      <w:suff w:val="space"/>
      <w:lvlText w:val="%1.%2.%3.%4.%5.%6.%7.%8"/>
      <w:lvlJc w:val="left"/>
      <w:pPr>
        <w:ind w:left="210" w:leftChars="0" w:firstLine="0" w:firstLineChars="0"/>
      </w:pPr>
      <w:rPr>
        <w:rFonts w:hint="default"/>
      </w:rPr>
    </w:lvl>
    <w:lvl w:ilvl="8" w:tentative="0">
      <w:start w:val="1"/>
      <w:numFmt w:val="decimal"/>
      <w:suff w:val="space"/>
      <w:lvlText w:val="%1.%2.%3.%4.%5.%6.%7.%8.%9"/>
      <w:lvlJc w:val="left"/>
      <w:pPr>
        <w:ind w:left="210" w:leftChars="0" w:firstLine="0" w:firstLineChars="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3207B"/>
    <w:rsid w:val="0029353F"/>
    <w:rsid w:val="0033408C"/>
    <w:rsid w:val="005F54FC"/>
    <w:rsid w:val="007C1515"/>
    <w:rsid w:val="00855447"/>
    <w:rsid w:val="008D40D1"/>
    <w:rsid w:val="00F408D5"/>
    <w:rsid w:val="01044426"/>
    <w:rsid w:val="012A6200"/>
    <w:rsid w:val="013517F5"/>
    <w:rsid w:val="013E027C"/>
    <w:rsid w:val="017814D8"/>
    <w:rsid w:val="0187380A"/>
    <w:rsid w:val="01922039"/>
    <w:rsid w:val="019540D1"/>
    <w:rsid w:val="01AF7F83"/>
    <w:rsid w:val="01B2128C"/>
    <w:rsid w:val="020A6889"/>
    <w:rsid w:val="021C286C"/>
    <w:rsid w:val="02427D08"/>
    <w:rsid w:val="026C237A"/>
    <w:rsid w:val="02891B2A"/>
    <w:rsid w:val="02955D71"/>
    <w:rsid w:val="02BB6822"/>
    <w:rsid w:val="02E035AE"/>
    <w:rsid w:val="02FB6A80"/>
    <w:rsid w:val="03093460"/>
    <w:rsid w:val="03326123"/>
    <w:rsid w:val="033567EA"/>
    <w:rsid w:val="033D32EE"/>
    <w:rsid w:val="03433682"/>
    <w:rsid w:val="03836D9D"/>
    <w:rsid w:val="03863FB5"/>
    <w:rsid w:val="04123DD0"/>
    <w:rsid w:val="0432146E"/>
    <w:rsid w:val="04493908"/>
    <w:rsid w:val="04537FD4"/>
    <w:rsid w:val="046248B4"/>
    <w:rsid w:val="04633A7E"/>
    <w:rsid w:val="04783CF8"/>
    <w:rsid w:val="04912015"/>
    <w:rsid w:val="049937B4"/>
    <w:rsid w:val="04CE5670"/>
    <w:rsid w:val="04F2663B"/>
    <w:rsid w:val="05221B3C"/>
    <w:rsid w:val="052E73F9"/>
    <w:rsid w:val="053931E5"/>
    <w:rsid w:val="05403090"/>
    <w:rsid w:val="055F591B"/>
    <w:rsid w:val="05832C1A"/>
    <w:rsid w:val="05F5561C"/>
    <w:rsid w:val="06233C2B"/>
    <w:rsid w:val="06370A6B"/>
    <w:rsid w:val="06474941"/>
    <w:rsid w:val="065C1D16"/>
    <w:rsid w:val="067C0ED7"/>
    <w:rsid w:val="06883F72"/>
    <w:rsid w:val="06B3540B"/>
    <w:rsid w:val="06EE53FD"/>
    <w:rsid w:val="070C42AE"/>
    <w:rsid w:val="07211A38"/>
    <w:rsid w:val="07635BA8"/>
    <w:rsid w:val="0783421D"/>
    <w:rsid w:val="07983517"/>
    <w:rsid w:val="07AF4119"/>
    <w:rsid w:val="07E86370"/>
    <w:rsid w:val="07F32F93"/>
    <w:rsid w:val="07F90F69"/>
    <w:rsid w:val="084470A6"/>
    <w:rsid w:val="0855722C"/>
    <w:rsid w:val="08B57BDB"/>
    <w:rsid w:val="08BF3525"/>
    <w:rsid w:val="08D9149C"/>
    <w:rsid w:val="08E37FD6"/>
    <w:rsid w:val="091559B9"/>
    <w:rsid w:val="0922330B"/>
    <w:rsid w:val="094B5A2E"/>
    <w:rsid w:val="09752142"/>
    <w:rsid w:val="09FA4194"/>
    <w:rsid w:val="09FE3FAD"/>
    <w:rsid w:val="0A431117"/>
    <w:rsid w:val="0A470A83"/>
    <w:rsid w:val="0A9564FE"/>
    <w:rsid w:val="0AC53CD0"/>
    <w:rsid w:val="0ACA3C99"/>
    <w:rsid w:val="0ADD2E8E"/>
    <w:rsid w:val="0B066798"/>
    <w:rsid w:val="0B134593"/>
    <w:rsid w:val="0B2379C2"/>
    <w:rsid w:val="0B244FCC"/>
    <w:rsid w:val="0B27022C"/>
    <w:rsid w:val="0B524B0C"/>
    <w:rsid w:val="0B634ECD"/>
    <w:rsid w:val="0B6A3391"/>
    <w:rsid w:val="0B6F48A5"/>
    <w:rsid w:val="0B9B5E3F"/>
    <w:rsid w:val="0BAC015C"/>
    <w:rsid w:val="0BCA212E"/>
    <w:rsid w:val="0BDA3509"/>
    <w:rsid w:val="0BE45BEE"/>
    <w:rsid w:val="0BF31E43"/>
    <w:rsid w:val="0C5F0157"/>
    <w:rsid w:val="0C6146EF"/>
    <w:rsid w:val="0C7A7066"/>
    <w:rsid w:val="0C897D44"/>
    <w:rsid w:val="0C95295A"/>
    <w:rsid w:val="0CA500B0"/>
    <w:rsid w:val="0CD81D8B"/>
    <w:rsid w:val="0D050F26"/>
    <w:rsid w:val="0D5208DF"/>
    <w:rsid w:val="0D645012"/>
    <w:rsid w:val="0D765B30"/>
    <w:rsid w:val="0D9E6495"/>
    <w:rsid w:val="0D9E75BF"/>
    <w:rsid w:val="0DA85F51"/>
    <w:rsid w:val="0DAE7175"/>
    <w:rsid w:val="0DD76029"/>
    <w:rsid w:val="0DFE1004"/>
    <w:rsid w:val="0E2B5CFD"/>
    <w:rsid w:val="0E766366"/>
    <w:rsid w:val="0E7C446D"/>
    <w:rsid w:val="0EC12047"/>
    <w:rsid w:val="0EDB0C5C"/>
    <w:rsid w:val="0EEC541F"/>
    <w:rsid w:val="0F24558A"/>
    <w:rsid w:val="0F3F64DF"/>
    <w:rsid w:val="0F632747"/>
    <w:rsid w:val="0F89766C"/>
    <w:rsid w:val="0FA6480D"/>
    <w:rsid w:val="0FBB5334"/>
    <w:rsid w:val="0FC14CBD"/>
    <w:rsid w:val="0FD91325"/>
    <w:rsid w:val="0FE54984"/>
    <w:rsid w:val="0FF125ED"/>
    <w:rsid w:val="0FF22E38"/>
    <w:rsid w:val="0FFA246B"/>
    <w:rsid w:val="101304F7"/>
    <w:rsid w:val="106D116F"/>
    <w:rsid w:val="107008E8"/>
    <w:rsid w:val="10C568B0"/>
    <w:rsid w:val="10CA1306"/>
    <w:rsid w:val="10D16536"/>
    <w:rsid w:val="10DC1E7F"/>
    <w:rsid w:val="10DD7912"/>
    <w:rsid w:val="10ED2115"/>
    <w:rsid w:val="11020C41"/>
    <w:rsid w:val="111C1E9D"/>
    <w:rsid w:val="115C1697"/>
    <w:rsid w:val="1160792B"/>
    <w:rsid w:val="11621B83"/>
    <w:rsid w:val="116E0353"/>
    <w:rsid w:val="118E3825"/>
    <w:rsid w:val="11A00EAE"/>
    <w:rsid w:val="11BF2FCD"/>
    <w:rsid w:val="11C46210"/>
    <w:rsid w:val="12117175"/>
    <w:rsid w:val="12192601"/>
    <w:rsid w:val="121C1256"/>
    <w:rsid w:val="122B6DD4"/>
    <w:rsid w:val="12753A4A"/>
    <w:rsid w:val="127B675A"/>
    <w:rsid w:val="127D15FA"/>
    <w:rsid w:val="12AD634A"/>
    <w:rsid w:val="12B90023"/>
    <w:rsid w:val="1312760B"/>
    <w:rsid w:val="13245E1D"/>
    <w:rsid w:val="1350681C"/>
    <w:rsid w:val="135E20E9"/>
    <w:rsid w:val="13D924D0"/>
    <w:rsid w:val="13E65969"/>
    <w:rsid w:val="13FB209B"/>
    <w:rsid w:val="1408617E"/>
    <w:rsid w:val="1415017C"/>
    <w:rsid w:val="141B0B5A"/>
    <w:rsid w:val="142E05FA"/>
    <w:rsid w:val="144720D0"/>
    <w:rsid w:val="144B39B9"/>
    <w:rsid w:val="146414B5"/>
    <w:rsid w:val="148E30C3"/>
    <w:rsid w:val="149038BB"/>
    <w:rsid w:val="14C04FB7"/>
    <w:rsid w:val="14F43766"/>
    <w:rsid w:val="150D1485"/>
    <w:rsid w:val="15147A5D"/>
    <w:rsid w:val="15212C11"/>
    <w:rsid w:val="15455E8E"/>
    <w:rsid w:val="154A62B5"/>
    <w:rsid w:val="15906A0E"/>
    <w:rsid w:val="15A30067"/>
    <w:rsid w:val="15A5046C"/>
    <w:rsid w:val="15D35D19"/>
    <w:rsid w:val="15DC318D"/>
    <w:rsid w:val="15DD2EBE"/>
    <w:rsid w:val="15EB5F1B"/>
    <w:rsid w:val="161D628D"/>
    <w:rsid w:val="16BC684D"/>
    <w:rsid w:val="16BF666F"/>
    <w:rsid w:val="16E77094"/>
    <w:rsid w:val="17085890"/>
    <w:rsid w:val="172E17AA"/>
    <w:rsid w:val="17730DC2"/>
    <w:rsid w:val="17734224"/>
    <w:rsid w:val="17797A06"/>
    <w:rsid w:val="17995F54"/>
    <w:rsid w:val="17A614D9"/>
    <w:rsid w:val="17CF26FC"/>
    <w:rsid w:val="17DB2B01"/>
    <w:rsid w:val="18083DD4"/>
    <w:rsid w:val="180910FE"/>
    <w:rsid w:val="1831296D"/>
    <w:rsid w:val="1864101A"/>
    <w:rsid w:val="186F337E"/>
    <w:rsid w:val="18A1096B"/>
    <w:rsid w:val="18A36E72"/>
    <w:rsid w:val="18B61F17"/>
    <w:rsid w:val="18F07859"/>
    <w:rsid w:val="19035B97"/>
    <w:rsid w:val="190B033A"/>
    <w:rsid w:val="192612B7"/>
    <w:rsid w:val="19386730"/>
    <w:rsid w:val="19440769"/>
    <w:rsid w:val="196B5605"/>
    <w:rsid w:val="19873DD2"/>
    <w:rsid w:val="198D1CBB"/>
    <w:rsid w:val="19CB4295"/>
    <w:rsid w:val="1A0C13DF"/>
    <w:rsid w:val="1A283C75"/>
    <w:rsid w:val="1A474427"/>
    <w:rsid w:val="1A6052A1"/>
    <w:rsid w:val="1A6830E1"/>
    <w:rsid w:val="1A852705"/>
    <w:rsid w:val="1A8A76E9"/>
    <w:rsid w:val="1AAF3514"/>
    <w:rsid w:val="1B2624D2"/>
    <w:rsid w:val="1B3A3414"/>
    <w:rsid w:val="1B3E6633"/>
    <w:rsid w:val="1B4D5C75"/>
    <w:rsid w:val="1B790CA4"/>
    <w:rsid w:val="1BEA4CDF"/>
    <w:rsid w:val="1C10156E"/>
    <w:rsid w:val="1C1B036E"/>
    <w:rsid w:val="1C1D4C69"/>
    <w:rsid w:val="1C207501"/>
    <w:rsid w:val="1C2C73DC"/>
    <w:rsid w:val="1C3A2F97"/>
    <w:rsid w:val="1C597F87"/>
    <w:rsid w:val="1C671830"/>
    <w:rsid w:val="1CAA4FF5"/>
    <w:rsid w:val="1CAF3D57"/>
    <w:rsid w:val="1CC76370"/>
    <w:rsid w:val="1CC9066C"/>
    <w:rsid w:val="1CF70CFF"/>
    <w:rsid w:val="1D116A7B"/>
    <w:rsid w:val="1D5F4FF5"/>
    <w:rsid w:val="1D9C5ECE"/>
    <w:rsid w:val="1DB16940"/>
    <w:rsid w:val="1DB33823"/>
    <w:rsid w:val="1DC75A10"/>
    <w:rsid w:val="1DE427E7"/>
    <w:rsid w:val="1E241F51"/>
    <w:rsid w:val="1E507D10"/>
    <w:rsid w:val="1E8A707D"/>
    <w:rsid w:val="1F0D32EC"/>
    <w:rsid w:val="1F172F80"/>
    <w:rsid w:val="1F197772"/>
    <w:rsid w:val="1F1B4876"/>
    <w:rsid w:val="1F2214E1"/>
    <w:rsid w:val="1F2B782C"/>
    <w:rsid w:val="1F3A4008"/>
    <w:rsid w:val="1F5017CF"/>
    <w:rsid w:val="1F504B34"/>
    <w:rsid w:val="1F520A20"/>
    <w:rsid w:val="1F861644"/>
    <w:rsid w:val="1FC81B96"/>
    <w:rsid w:val="1FDE0E64"/>
    <w:rsid w:val="200F1EE4"/>
    <w:rsid w:val="20112FBC"/>
    <w:rsid w:val="2027587E"/>
    <w:rsid w:val="20432C9F"/>
    <w:rsid w:val="20436B6D"/>
    <w:rsid w:val="205C7A0B"/>
    <w:rsid w:val="20701CA4"/>
    <w:rsid w:val="207F78B5"/>
    <w:rsid w:val="20A52DFA"/>
    <w:rsid w:val="20C37E52"/>
    <w:rsid w:val="21087ADC"/>
    <w:rsid w:val="211D535A"/>
    <w:rsid w:val="212207DF"/>
    <w:rsid w:val="212434E5"/>
    <w:rsid w:val="213812E6"/>
    <w:rsid w:val="213B4268"/>
    <w:rsid w:val="2159300E"/>
    <w:rsid w:val="218E2F22"/>
    <w:rsid w:val="21B41D2C"/>
    <w:rsid w:val="21B82F74"/>
    <w:rsid w:val="21B9483B"/>
    <w:rsid w:val="21C53A9C"/>
    <w:rsid w:val="21CA78A0"/>
    <w:rsid w:val="21E2763F"/>
    <w:rsid w:val="21ED6B59"/>
    <w:rsid w:val="222159F7"/>
    <w:rsid w:val="222E4591"/>
    <w:rsid w:val="22497E7F"/>
    <w:rsid w:val="227708CA"/>
    <w:rsid w:val="22960CD7"/>
    <w:rsid w:val="2306081B"/>
    <w:rsid w:val="230615F1"/>
    <w:rsid w:val="234F1F41"/>
    <w:rsid w:val="235A27D5"/>
    <w:rsid w:val="237D6BA4"/>
    <w:rsid w:val="23B852BA"/>
    <w:rsid w:val="23D83FB0"/>
    <w:rsid w:val="23E44D04"/>
    <w:rsid w:val="2401414B"/>
    <w:rsid w:val="240A2C81"/>
    <w:rsid w:val="24151A0B"/>
    <w:rsid w:val="241839E8"/>
    <w:rsid w:val="244B46C3"/>
    <w:rsid w:val="244D606C"/>
    <w:rsid w:val="24A00D30"/>
    <w:rsid w:val="24D813DB"/>
    <w:rsid w:val="25103E8D"/>
    <w:rsid w:val="254B642B"/>
    <w:rsid w:val="2587127B"/>
    <w:rsid w:val="258D1627"/>
    <w:rsid w:val="25917565"/>
    <w:rsid w:val="2594605F"/>
    <w:rsid w:val="25B019A3"/>
    <w:rsid w:val="25C95DAA"/>
    <w:rsid w:val="25D44AF3"/>
    <w:rsid w:val="25F93895"/>
    <w:rsid w:val="25FC221D"/>
    <w:rsid w:val="26257F45"/>
    <w:rsid w:val="26351D53"/>
    <w:rsid w:val="263F3DE0"/>
    <w:rsid w:val="26666EFD"/>
    <w:rsid w:val="267C4BED"/>
    <w:rsid w:val="26C0400F"/>
    <w:rsid w:val="26C65A07"/>
    <w:rsid w:val="26D95F87"/>
    <w:rsid w:val="26E62F7A"/>
    <w:rsid w:val="27372FBF"/>
    <w:rsid w:val="27533D80"/>
    <w:rsid w:val="27596E29"/>
    <w:rsid w:val="278424AD"/>
    <w:rsid w:val="278A1122"/>
    <w:rsid w:val="27AD6196"/>
    <w:rsid w:val="27AF0AA0"/>
    <w:rsid w:val="27B20777"/>
    <w:rsid w:val="27D84F45"/>
    <w:rsid w:val="28367A3B"/>
    <w:rsid w:val="28795D5D"/>
    <w:rsid w:val="28CC19C6"/>
    <w:rsid w:val="28ED35B0"/>
    <w:rsid w:val="28EE2E9C"/>
    <w:rsid w:val="290B4940"/>
    <w:rsid w:val="292748E7"/>
    <w:rsid w:val="29430C40"/>
    <w:rsid w:val="297015C0"/>
    <w:rsid w:val="298C0530"/>
    <w:rsid w:val="2996589B"/>
    <w:rsid w:val="299D2685"/>
    <w:rsid w:val="29B35A79"/>
    <w:rsid w:val="29BF2822"/>
    <w:rsid w:val="29D81519"/>
    <w:rsid w:val="29E85A11"/>
    <w:rsid w:val="29FA4443"/>
    <w:rsid w:val="2A017048"/>
    <w:rsid w:val="2A1579F3"/>
    <w:rsid w:val="2A3D3CBD"/>
    <w:rsid w:val="2A482269"/>
    <w:rsid w:val="2A752E5B"/>
    <w:rsid w:val="2A780674"/>
    <w:rsid w:val="2A7E061C"/>
    <w:rsid w:val="2AAD2118"/>
    <w:rsid w:val="2AD076ED"/>
    <w:rsid w:val="2AE73F96"/>
    <w:rsid w:val="2B1838D2"/>
    <w:rsid w:val="2B1B7F16"/>
    <w:rsid w:val="2B345E77"/>
    <w:rsid w:val="2B9E0284"/>
    <w:rsid w:val="2BA60959"/>
    <w:rsid w:val="2BBB64CB"/>
    <w:rsid w:val="2BC06403"/>
    <w:rsid w:val="2C4A1383"/>
    <w:rsid w:val="2C51707B"/>
    <w:rsid w:val="2C5B0C17"/>
    <w:rsid w:val="2C721D69"/>
    <w:rsid w:val="2C8950EA"/>
    <w:rsid w:val="2CB1002E"/>
    <w:rsid w:val="2CB72B1D"/>
    <w:rsid w:val="2CB762C8"/>
    <w:rsid w:val="2CBD1156"/>
    <w:rsid w:val="2CCC75E2"/>
    <w:rsid w:val="2CDB32BE"/>
    <w:rsid w:val="2D2D0C30"/>
    <w:rsid w:val="2D5200C2"/>
    <w:rsid w:val="2D597FFE"/>
    <w:rsid w:val="2D7F7FC1"/>
    <w:rsid w:val="2D8C6222"/>
    <w:rsid w:val="2D9309F2"/>
    <w:rsid w:val="2DB64A25"/>
    <w:rsid w:val="2DDD3FBB"/>
    <w:rsid w:val="2DFB12F0"/>
    <w:rsid w:val="2E2B6F02"/>
    <w:rsid w:val="2E3545FA"/>
    <w:rsid w:val="2E522C9E"/>
    <w:rsid w:val="2E577351"/>
    <w:rsid w:val="2E7C5C38"/>
    <w:rsid w:val="2E8065BF"/>
    <w:rsid w:val="2E890B16"/>
    <w:rsid w:val="2EA57273"/>
    <w:rsid w:val="2EB11E38"/>
    <w:rsid w:val="2EC54F58"/>
    <w:rsid w:val="2EF934FC"/>
    <w:rsid w:val="2EFD7705"/>
    <w:rsid w:val="2F1C5180"/>
    <w:rsid w:val="2F29416F"/>
    <w:rsid w:val="2F3B7356"/>
    <w:rsid w:val="2F5A7397"/>
    <w:rsid w:val="2F7009C6"/>
    <w:rsid w:val="2F707590"/>
    <w:rsid w:val="2F907D10"/>
    <w:rsid w:val="2FDB4666"/>
    <w:rsid w:val="2FFA64C5"/>
    <w:rsid w:val="2FFA78B9"/>
    <w:rsid w:val="30143D3F"/>
    <w:rsid w:val="301D64FE"/>
    <w:rsid w:val="303D6ADD"/>
    <w:rsid w:val="303E058D"/>
    <w:rsid w:val="30444A1A"/>
    <w:rsid w:val="3069552E"/>
    <w:rsid w:val="307B5CC8"/>
    <w:rsid w:val="307D76E9"/>
    <w:rsid w:val="30B1348E"/>
    <w:rsid w:val="30B21D29"/>
    <w:rsid w:val="30B906BE"/>
    <w:rsid w:val="30C7795D"/>
    <w:rsid w:val="3109174E"/>
    <w:rsid w:val="311A444E"/>
    <w:rsid w:val="311F070E"/>
    <w:rsid w:val="31994507"/>
    <w:rsid w:val="31BF4049"/>
    <w:rsid w:val="31F904FB"/>
    <w:rsid w:val="320423F7"/>
    <w:rsid w:val="32181E1B"/>
    <w:rsid w:val="322920EF"/>
    <w:rsid w:val="324D3AFB"/>
    <w:rsid w:val="3269634A"/>
    <w:rsid w:val="326C1B6D"/>
    <w:rsid w:val="328A75E1"/>
    <w:rsid w:val="329E4F03"/>
    <w:rsid w:val="32A35561"/>
    <w:rsid w:val="32B8092B"/>
    <w:rsid w:val="32C932B5"/>
    <w:rsid w:val="32F31805"/>
    <w:rsid w:val="32F93223"/>
    <w:rsid w:val="33110683"/>
    <w:rsid w:val="332A29BB"/>
    <w:rsid w:val="336E3C3B"/>
    <w:rsid w:val="337C3AE2"/>
    <w:rsid w:val="339225C0"/>
    <w:rsid w:val="33D158CE"/>
    <w:rsid w:val="33D76F72"/>
    <w:rsid w:val="33E1349C"/>
    <w:rsid w:val="33E37872"/>
    <w:rsid w:val="33E57511"/>
    <w:rsid w:val="33E646C6"/>
    <w:rsid w:val="33E76712"/>
    <w:rsid w:val="33FE5F60"/>
    <w:rsid w:val="341B4D2B"/>
    <w:rsid w:val="343A2819"/>
    <w:rsid w:val="344122C3"/>
    <w:rsid w:val="34483B47"/>
    <w:rsid w:val="34521A8C"/>
    <w:rsid w:val="345A67F0"/>
    <w:rsid w:val="34DE2954"/>
    <w:rsid w:val="34E72284"/>
    <w:rsid w:val="34FE29D7"/>
    <w:rsid w:val="35075A32"/>
    <w:rsid w:val="35117B4D"/>
    <w:rsid w:val="35521065"/>
    <w:rsid w:val="355855B9"/>
    <w:rsid w:val="356B0D9F"/>
    <w:rsid w:val="358D6442"/>
    <w:rsid w:val="3594085D"/>
    <w:rsid w:val="35E0213D"/>
    <w:rsid w:val="35E4395F"/>
    <w:rsid w:val="35E84C8F"/>
    <w:rsid w:val="36131E40"/>
    <w:rsid w:val="36243383"/>
    <w:rsid w:val="36597A59"/>
    <w:rsid w:val="365B638F"/>
    <w:rsid w:val="368A3EAC"/>
    <w:rsid w:val="36B83DC5"/>
    <w:rsid w:val="36BE05A5"/>
    <w:rsid w:val="37036E5D"/>
    <w:rsid w:val="376F5874"/>
    <w:rsid w:val="3782270B"/>
    <w:rsid w:val="378B288A"/>
    <w:rsid w:val="37925D07"/>
    <w:rsid w:val="379627DC"/>
    <w:rsid w:val="37AD173B"/>
    <w:rsid w:val="37C06991"/>
    <w:rsid w:val="37CC5336"/>
    <w:rsid w:val="381D16AD"/>
    <w:rsid w:val="382221CD"/>
    <w:rsid w:val="382A0DBC"/>
    <w:rsid w:val="382B7CE8"/>
    <w:rsid w:val="383E6889"/>
    <w:rsid w:val="384A4C23"/>
    <w:rsid w:val="38534D84"/>
    <w:rsid w:val="386A6CDB"/>
    <w:rsid w:val="387E5A8D"/>
    <w:rsid w:val="38921476"/>
    <w:rsid w:val="38A52653"/>
    <w:rsid w:val="38B50032"/>
    <w:rsid w:val="38CF0BB7"/>
    <w:rsid w:val="38E85899"/>
    <w:rsid w:val="38EB6093"/>
    <w:rsid w:val="390D30B4"/>
    <w:rsid w:val="390E65E5"/>
    <w:rsid w:val="392F04DC"/>
    <w:rsid w:val="395379F6"/>
    <w:rsid w:val="396E413C"/>
    <w:rsid w:val="396F346D"/>
    <w:rsid w:val="39731468"/>
    <w:rsid w:val="399A2E40"/>
    <w:rsid w:val="39A21807"/>
    <w:rsid w:val="39A53E59"/>
    <w:rsid w:val="39DB4835"/>
    <w:rsid w:val="3A13023B"/>
    <w:rsid w:val="3A3A02AF"/>
    <w:rsid w:val="3A524DF2"/>
    <w:rsid w:val="3A642650"/>
    <w:rsid w:val="3A756B50"/>
    <w:rsid w:val="3A920BBD"/>
    <w:rsid w:val="3AEA2B73"/>
    <w:rsid w:val="3AF25786"/>
    <w:rsid w:val="3B48716E"/>
    <w:rsid w:val="3B6761A9"/>
    <w:rsid w:val="3B6E720C"/>
    <w:rsid w:val="3BA46438"/>
    <w:rsid w:val="3BB62E8C"/>
    <w:rsid w:val="3BD64E65"/>
    <w:rsid w:val="3BF953CF"/>
    <w:rsid w:val="3C0E19DB"/>
    <w:rsid w:val="3C172195"/>
    <w:rsid w:val="3C2D290F"/>
    <w:rsid w:val="3C5B1E14"/>
    <w:rsid w:val="3C630336"/>
    <w:rsid w:val="3C70489B"/>
    <w:rsid w:val="3CAC46E5"/>
    <w:rsid w:val="3CB03672"/>
    <w:rsid w:val="3CB26805"/>
    <w:rsid w:val="3CBD2733"/>
    <w:rsid w:val="3CC37C07"/>
    <w:rsid w:val="3CC656D9"/>
    <w:rsid w:val="3D040D4E"/>
    <w:rsid w:val="3D0F6452"/>
    <w:rsid w:val="3D2B39DE"/>
    <w:rsid w:val="3D304709"/>
    <w:rsid w:val="3D376ACD"/>
    <w:rsid w:val="3D504FFB"/>
    <w:rsid w:val="3D5214C9"/>
    <w:rsid w:val="3D7460B1"/>
    <w:rsid w:val="3DD55E17"/>
    <w:rsid w:val="3DF333B0"/>
    <w:rsid w:val="3DF70766"/>
    <w:rsid w:val="3E0D5771"/>
    <w:rsid w:val="3E254D0D"/>
    <w:rsid w:val="3E302679"/>
    <w:rsid w:val="3E440C04"/>
    <w:rsid w:val="3E442308"/>
    <w:rsid w:val="3E7F5F83"/>
    <w:rsid w:val="3EA1214D"/>
    <w:rsid w:val="3EB35ACE"/>
    <w:rsid w:val="3EB471FB"/>
    <w:rsid w:val="3EDB5BB6"/>
    <w:rsid w:val="3EE56E9E"/>
    <w:rsid w:val="3EF25203"/>
    <w:rsid w:val="3F3777B5"/>
    <w:rsid w:val="3F40371A"/>
    <w:rsid w:val="3F5778D9"/>
    <w:rsid w:val="3F6E7A44"/>
    <w:rsid w:val="3F7D56DB"/>
    <w:rsid w:val="3F8C5C66"/>
    <w:rsid w:val="3F9C76DD"/>
    <w:rsid w:val="3FB5627C"/>
    <w:rsid w:val="3FC9145D"/>
    <w:rsid w:val="3FDE009A"/>
    <w:rsid w:val="3FE65741"/>
    <w:rsid w:val="407E7A24"/>
    <w:rsid w:val="40933C23"/>
    <w:rsid w:val="40A261E5"/>
    <w:rsid w:val="40CB1781"/>
    <w:rsid w:val="40D7319B"/>
    <w:rsid w:val="40DF0BD4"/>
    <w:rsid w:val="41041E65"/>
    <w:rsid w:val="411C48EC"/>
    <w:rsid w:val="41590348"/>
    <w:rsid w:val="417D3455"/>
    <w:rsid w:val="418863B7"/>
    <w:rsid w:val="419941A3"/>
    <w:rsid w:val="41C42F81"/>
    <w:rsid w:val="41EE404F"/>
    <w:rsid w:val="42051F11"/>
    <w:rsid w:val="420E4E02"/>
    <w:rsid w:val="423E3722"/>
    <w:rsid w:val="428527CA"/>
    <w:rsid w:val="42867FF0"/>
    <w:rsid w:val="42A10FD1"/>
    <w:rsid w:val="42A65F95"/>
    <w:rsid w:val="42A87156"/>
    <w:rsid w:val="42BE098D"/>
    <w:rsid w:val="42D66E06"/>
    <w:rsid w:val="42F82442"/>
    <w:rsid w:val="43232778"/>
    <w:rsid w:val="43385202"/>
    <w:rsid w:val="43417346"/>
    <w:rsid w:val="43552161"/>
    <w:rsid w:val="4392269E"/>
    <w:rsid w:val="43D937CA"/>
    <w:rsid w:val="440E28E6"/>
    <w:rsid w:val="44192BBC"/>
    <w:rsid w:val="443731C0"/>
    <w:rsid w:val="44472598"/>
    <w:rsid w:val="448F5C72"/>
    <w:rsid w:val="44967B8D"/>
    <w:rsid w:val="44B13137"/>
    <w:rsid w:val="44B2485C"/>
    <w:rsid w:val="44C46DC5"/>
    <w:rsid w:val="45556B32"/>
    <w:rsid w:val="458425A5"/>
    <w:rsid w:val="45922694"/>
    <w:rsid w:val="45DC1793"/>
    <w:rsid w:val="45E21A7B"/>
    <w:rsid w:val="464D23D0"/>
    <w:rsid w:val="46DB14ED"/>
    <w:rsid w:val="46EB714D"/>
    <w:rsid w:val="47047F5C"/>
    <w:rsid w:val="470D2FED"/>
    <w:rsid w:val="471C4468"/>
    <w:rsid w:val="47292B1C"/>
    <w:rsid w:val="474D66D5"/>
    <w:rsid w:val="47635A16"/>
    <w:rsid w:val="47680DF1"/>
    <w:rsid w:val="4778228B"/>
    <w:rsid w:val="4789354F"/>
    <w:rsid w:val="479C136E"/>
    <w:rsid w:val="47A634F3"/>
    <w:rsid w:val="47BE0819"/>
    <w:rsid w:val="47C21B9E"/>
    <w:rsid w:val="47C816D7"/>
    <w:rsid w:val="47CE2E31"/>
    <w:rsid w:val="47DF5790"/>
    <w:rsid w:val="480456E2"/>
    <w:rsid w:val="48046285"/>
    <w:rsid w:val="48090800"/>
    <w:rsid w:val="487A6896"/>
    <w:rsid w:val="4895370F"/>
    <w:rsid w:val="48A559F3"/>
    <w:rsid w:val="48B857A0"/>
    <w:rsid w:val="48BE547B"/>
    <w:rsid w:val="48EB599F"/>
    <w:rsid w:val="48EE5DA1"/>
    <w:rsid w:val="48F12FFE"/>
    <w:rsid w:val="4930636A"/>
    <w:rsid w:val="494267A0"/>
    <w:rsid w:val="49B739A9"/>
    <w:rsid w:val="49D471FD"/>
    <w:rsid w:val="4A3C5076"/>
    <w:rsid w:val="4A657306"/>
    <w:rsid w:val="4A735FF9"/>
    <w:rsid w:val="4ACC3E89"/>
    <w:rsid w:val="4AD60675"/>
    <w:rsid w:val="4ADD155C"/>
    <w:rsid w:val="4AE3483C"/>
    <w:rsid w:val="4AFB3F6A"/>
    <w:rsid w:val="4B0E1945"/>
    <w:rsid w:val="4B1C04B1"/>
    <w:rsid w:val="4B8F0CEA"/>
    <w:rsid w:val="4B950408"/>
    <w:rsid w:val="4B9D06E9"/>
    <w:rsid w:val="4BB84E04"/>
    <w:rsid w:val="4BBD4032"/>
    <w:rsid w:val="4BC22EBE"/>
    <w:rsid w:val="4C4575A8"/>
    <w:rsid w:val="4C68677B"/>
    <w:rsid w:val="4C846B1C"/>
    <w:rsid w:val="4CB7114A"/>
    <w:rsid w:val="4CDB5383"/>
    <w:rsid w:val="4CFD2BDF"/>
    <w:rsid w:val="4D440B85"/>
    <w:rsid w:val="4D7C6B23"/>
    <w:rsid w:val="4D7D368E"/>
    <w:rsid w:val="4D7F7C7C"/>
    <w:rsid w:val="4DA229D4"/>
    <w:rsid w:val="4DC033DF"/>
    <w:rsid w:val="4DD93EC5"/>
    <w:rsid w:val="4DDC107C"/>
    <w:rsid w:val="4DF62556"/>
    <w:rsid w:val="4E01686D"/>
    <w:rsid w:val="4E0C349F"/>
    <w:rsid w:val="4E1E77DC"/>
    <w:rsid w:val="4E7513E9"/>
    <w:rsid w:val="4EDA4C3F"/>
    <w:rsid w:val="4EDA7768"/>
    <w:rsid w:val="4F132F61"/>
    <w:rsid w:val="4F4F2E4A"/>
    <w:rsid w:val="4F5C0A9C"/>
    <w:rsid w:val="4F8C3C43"/>
    <w:rsid w:val="4F92062A"/>
    <w:rsid w:val="4F9E4E16"/>
    <w:rsid w:val="4FDA53EB"/>
    <w:rsid w:val="4FE762F1"/>
    <w:rsid w:val="500E5D3D"/>
    <w:rsid w:val="50393505"/>
    <w:rsid w:val="504365B7"/>
    <w:rsid w:val="50643E95"/>
    <w:rsid w:val="50856643"/>
    <w:rsid w:val="50933AA1"/>
    <w:rsid w:val="50A82A11"/>
    <w:rsid w:val="51111DE0"/>
    <w:rsid w:val="51262364"/>
    <w:rsid w:val="512B0FEE"/>
    <w:rsid w:val="513578F8"/>
    <w:rsid w:val="513A2DF2"/>
    <w:rsid w:val="5152159C"/>
    <w:rsid w:val="518674BC"/>
    <w:rsid w:val="519312FE"/>
    <w:rsid w:val="51A33E7D"/>
    <w:rsid w:val="51C43A9F"/>
    <w:rsid w:val="51E13D4B"/>
    <w:rsid w:val="51E356BE"/>
    <w:rsid w:val="51F81D78"/>
    <w:rsid w:val="51FA4E5B"/>
    <w:rsid w:val="52193D0A"/>
    <w:rsid w:val="521D4368"/>
    <w:rsid w:val="523757A1"/>
    <w:rsid w:val="526D284D"/>
    <w:rsid w:val="527558CF"/>
    <w:rsid w:val="52E2470A"/>
    <w:rsid w:val="52F80B95"/>
    <w:rsid w:val="531B10FB"/>
    <w:rsid w:val="534C626A"/>
    <w:rsid w:val="53555DF1"/>
    <w:rsid w:val="5378071F"/>
    <w:rsid w:val="53C222FA"/>
    <w:rsid w:val="53D27F95"/>
    <w:rsid w:val="54433963"/>
    <w:rsid w:val="546A6556"/>
    <w:rsid w:val="54714340"/>
    <w:rsid w:val="54917E95"/>
    <w:rsid w:val="54924E26"/>
    <w:rsid w:val="54AB205E"/>
    <w:rsid w:val="54DA6955"/>
    <w:rsid w:val="54E1134F"/>
    <w:rsid w:val="55013621"/>
    <w:rsid w:val="55247F31"/>
    <w:rsid w:val="55362483"/>
    <w:rsid w:val="556209BB"/>
    <w:rsid w:val="5571296C"/>
    <w:rsid w:val="55897676"/>
    <w:rsid w:val="55A705BD"/>
    <w:rsid w:val="55B60FE1"/>
    <w:rsid w:val="55B81919"/>
    <w:rsid w:val="55DA2D28"/>
    <w:rsid w:val="56762C5B"/>
    <w:rsid w:val="56A95B19"/>
    <w:rsid w:val="56C108F8"/>
    <w:rsid w:val="56D738B8"/>
    <w:rsid w:val="570E2D0A"/>
    <w:rsid w:val="572F00EB"/>
    <w:rsid w:val="57303F9A"/>
    <w:rsid w:val="57330C58"/>
    <w:rsid w:val="575F0914"/>
    <w:rsid w:val="578B5ACD"/>
    <w:rsid w:val="5792492B"/>
    <w:rsid w:val="57B576B3"/>
    <w:rsid w:val="57B80A38"/>
    <w:rsid w:val="57BA5691"/>
    <w:rsid w:val="57D15D9F"/>
    <w:rsid w:val="57DB7915"/>
    <w:rsid w:val="57E53801"/>
    <w:rsid w:val="5846749A"/>
    <w:rsid w:val="585B78D1"/>
    <w:rsid w:val="585C3060"/>
    <w:rsid w:val="592B25CE"/>
    <w:rsid w:val="59431F1C"/>
    <w:rsid w:val="59851783"/>
    <w:rsid w:val="59997C70"/>
    <w:rsid w:val="59A2472D"/>
    <w:rsid w:val="59D7655F"/>
    <w:rsid w:val="5A13184F"/>
    <w:rsid w:val="5A182007"/>
    <w:rsid w:val="5A333B23"/>
    <w:rsid w:val="5A464D27"/>
    <w:rsid w:val="5A6E157B"/>
    <w:rsid w:val="5A6E4C85"/>
    <w:rsid w:val="5ACB0874"/>
    <w:rsid w:val="5ACC3309"/>
    <w:rsid w:val="5ADF635D"/>
    <w:rsid w:val="5B8C7C0E"/>
    <w:rsid w:val="5BBA11C8"/>
    <w:rsid w:val="5BCF5541"/>
    <w:rsid w:val="5BF513B8"/>
    <w:rsid w:val="5C007741"/>
    <w:rsid w:val="5C4271DF"/>
    <w:rsid w:val="5C666194"/>
    <w:rsid w:val="5C8B2EFE"/>
    <w:rsid w:val="5C8C7917"/>
    <w:rsid w:val="5CF15ABE"/>
    <w:rsid w:val="5CFD0E08"/>
    <w:rsid w:val="5D026078"/>
    <w:rsid w:val="5D306D34"/>
    <w:rsid w:val="5D7C46A0"/>
    <w:rsid w:val="5D7E4536"/>
    <w:rsid w:val="5DB73A48"/>
    <w:rsid w:val="5DE02AC4"/>
    <w:rsid w:val="5DF747E4"/>
    <w:rsid w:val="5E1206EF"/>
    <w:rsid w:val="5E300759"/>
    <w:rsid w:val="5E423755"/>
    <w:rsid w:val="5E705EED"/>
    <w:rsid w:val="5E842D31"/>
    <w:rsid w:val="5E9D3ACC"/>
    <w:rsid w:val="5E9E61B0"/>
    <w:rsid w:val="5EB7326A"/>
    <w:rsid w:val="5EF0414C"/>
    <w:rsid w:val="5EF73BEC"/>
    <w:rsid w:val="5F031C71"/>
    <w:rsid w:val="5F043694"/>
    <w:rsid w:val="5F076971"/>
    <w:rsid w:val="5F154FED"/>
    <w:rsid w:val="5F240928"/>
    <w:rsid w:val="5F3171AF"/>
    <w:rsid w:val="5F3B0705"/>
    <w:rsid w:val="5F9975BD"/>
    <w:rsid w:val="5FC14A0A"/>
    <w:rsid w:val="5FD21BB9"/>
    <w:rsid w:val="5FEF30C2"/>
    <w:rsid w:val="600A4AA5"/>
    <w:rsid w:val="60125F07"/>
    <w:rsid w:val="602117A3"/>
    <w:rsid w:val="60D605D9"/>
    <w:rsid w:val="60FA09CC"/>
    <w:rsid w:val="610752BC"/>
    <w:rsid w:val="612D2104"/>
    <w:rsid w:val="614F75FB"/>
    <w:rsid w:val="617B44C7"/>
    <w:rsid w:val="61811116"/>
    <w:rsid w:val="618C0DCE"/>
    <w:rsid w:val="61FC143D"/>
    <w:rsid w:val="62302692"/>
    <w:rsid w:val="624E4D2D"/>
    <w:rsid w:val="62552B0E"/>
    <w:rsid w:val="62776C87"/>
    <w:rsid w:val="62AC4714"/>
    <w:rsid w:val="62AE75F4"/>
    <w:rsid w:val="62BC4BA3"/>
    <w:rsid w:val="62E76377"/>
    <w:rsid w:val="62ED159D"/>
    <w:rsid w:val="630F2600"/>
    <w:rsid w:val="636141C7"/>
    <w:rsid w:val="639D1DDA"/>
    <w:rsid w:val="63DD4F8D"/>
    <w:rsid w:val="63E804F6"/>
    <w:rsid w:val="63F766AE"/>
    <w:rsid w:val="64215811"/>
    <w:rsid w:val="643837B0"/>
    <w:rsid w:val="64535ACC"/>
    <w:rsid w:val="64832F2D"/>
    <w:rsid w:val="648B3C80"/>
    <w:rsid w:val="64E3005E"/>
    <w:rsid w:val="64FC2113"/>
    <w:rsid w:val="650B79FD"/>
    <w:rsid w:val="65961C47"/>
    <w:rsid w:val="65986E2E"/>
    <w:rsid w:val="65CC59A5"/>
    <w:rsid w:val="65D8411B"/>
    <w:rsid w:val="661653BE"/>
    <w:rsid w:val="6628485C"/>
    <w:rsid w:val="662A5FE3"/>
    <w:rsid w:val="664076F6"/>
    <w:rsid w:val="66496A15"/>
    <w:rsid w:val="66676184"/>
    <w:rsid w:val="669725C2"/>
    <w:rsid w:val="66A85155"/>
    <w:rsid w:val="66D47E84"/>
    <w:rsid w:val="66DF6808"/>
    <w:rsid w:val="670E008E"/>
    <w:rsid w:val="6728680B"/>
    <w:rsid w:val="6738762A"/>
    <w:rsid w:val="674C4773"/>
    <w:rsid w:val="67A03163"/>
    <w:rsid w:val="67FC6C58"/>
    <w:rsid w:val="680404B0"/>
    <w:rsid w:val="68090D84"/>
    <w:rsid w:val="680D2C91"/>
    <w:rsid w:val="68102AB4"/>
    <w:rsid w:val="682A74D8"/>
    <w:rsid w:val="683B1231"/>
    <w:rsid w:val="688A3D47"/>
    <w:rsid w:val="68DF6F58"/>
    <w:rsid w:val="68FC10CF"/>
    <w:rsid w:val="69135B79"/>
    <w:rsid w:val="691C58B3"/>
    <w:rsid w:val="69442DF2"/>
    <w:rsid w:val="694747DD"/>
    <w:rsid w:val="694A0545"/>
    <w:rsid w:val="695A3513"/>
    <w:rsid w:val="695C315F"/>
    <w:rsid w:val="697347FA"/>
    <w:rsid w:val="69821E3E"/>
    <w:rsid w:val="6997462B"/>
    <w:rsid w:val="69A570AD"/>
    <w:rsid w:val="69C57F3A"/>
    <w:rsid w:val="69D505EA"/>
    <w:rsid w:val="69EC780F"/>
    <w:rsid w:val="6A062D79"/>
    <w:rsid w:val="6A0977A0"/>
    <w:rsid w:val="6A3C0BD8"/>
    <w:rsid w:val="6A3C4C1D"/>
    <w:rsid w:val="6A53782E"/>
    <w:rsid w:val="6A677EC1"/>
    <w:rsid w:val="6A7D285E"/>
    <w:rsid w:val="6A895811"/>
    <w:rsid w:val="6AB00D55"/>
    <w:rsid w:val="6AF62A81"/>
    <w:rsid w:val="6AFA7801"/>
    <w:rsid w:val="6B3B2710"/>
    <w:rsid w:val="6B463888"/>
    <w:rsid w:val="6BC63CF0"/>
    <w:rsid w:val="6BF5473C"/>
    <w:rsid w:val="6C3262A3"/>
    <w:rsid w:val="6C8312F5"/>
    <w:rsid w:val="6C936667"/>
    <w:rsid w:val="6C981192"/>
    <w:rsid w:val="6CE2163C"/>
    <w:rsid w:val="6CE772FA"/>
    <w:rsid w:val="6CEA05AD"/>
    <w:rsid w:val="6CF618DD"/>
    <w:rsid w:val="6D010309"/>
    <w:rsid w:val="6D156770"/>
    <w:rsid w:val="6D62593D"/>
    <w:rsid w:val="6DB42211"/>
    <w:rsid w:val="6DC674A9"/>
    <w:rsid w:val="6DDE53A9"/>
    <w:rsid w:val="6DE0537E"/>
    <w:rsid w:val="6E045C40"/>
    <w:rsid w:val="6E17794B"/>
    <w:rsid w:val="6E325FBE"/>
    <w:rsid w:val="6E873072"/>
    <w:rsid w:val="6F8A374D"/>
    <w:rsid w:val="6F8E158F"/>
    <w:rsid w:val="6F922FC0"/>
    <w:rsid w:val="6F9F76A1"/>
    <w:rsid w:val="6FB26270"/>
    <w:rsid w:val="6FB37033"/>
    <w:rsid w:val="6FBE31C6"/>
    <w:rsid w:val="6FE9091C"/>
    <w:rsid w:val="6FF205DF"/>
    <w:rsid w:val="700126DC"/>
    <w:rsid w:val="70357D03"/>
    <w:rsid w:val="70564C6A"/>
    <w:rsid w:val="7069636A"/>
    <w:rsid w:val="70707070"/>
    <w:rsid w:val="7092150C"/>
    <w:rsid w:val="70A55849"/>
    <w:rsid w:val="70C278B0"/>
    <w:rsid w:val="70D342B0"/>
    <w:rsid w:val="70D34533"/>
    <w:rsid w:val="70DC0CD9"/>
    <w:rsid w:val="710F05AB"/>
    <w:rsid w:val="711958AA"/>
    <w:rsid w:val="71274899"/>
    <w:rsid w:val="71275134"/>
    <w:rsid w:val="714D2E46"/>
    <w:rsid w:val="716E7CBC"/>
    <w:rsid w:val="71896284"/>
    <w:rsid w:val="71A64B55"/>
    <w:rsid w:val="71C0143A"/>
    <w:rsid w:val="71D9280C"/>
    <w:rsid w:val="72032250"/>
    <w:rsid w:val="721C0FFE"/>
    <w:rsid w:val="72340902"/>
    <w:rsid w:val="725061E5"/>
    <w:rsid w:val="727F2230"/>
    <w:rsid w:val="72831355"/>
    <w:rsid w:val="72CB0D9A"/>
    <w:rsid w:val="72EF23B4"/>
    <w:rsid w:val="72FB287F"/>
    <w:rsid w:val="73012A1B"/>
    <w:rsid w:val="73316060"/>
    <w:rsid w:val="738A5111"/>
    <w:rsid w:val="73BC0940"/>
    <w:rsid w:val="73BC5676"/>
    <w:rsid w:val="73D24F54"/>
    <w:rsid w:val="73FB7412"/>
    <w:rsid w:val="74164E2A"/>
    <w:rsid w:val="748D4FFE"/>
    <w:rsid w:val="74C61B71"/>
    <w:rsid w:val="75152821"/>
    <w:rsid w:val="7530255F"/>
    <w:rsid w:val="75303D1B"/>
    <w:rsid w:val="754731DD"/>
    <w:rsid w:val="75715019"/>
    <w:rsid w:val="75B77F48"/>
    <w:rsid w:val="75D354C3"/>
    <w:rsid w:val="75ED725E"/>
    <w:rsid w:val="75F960E6"/>
    <w:rsid w:val="760E61A4"/>
    <w:rsid w:val="76305440"/>
    <w:rsid w:val="763B66BC"/>
    <w:rsid w:val="767751D1"/>
    <w:rsid w:val="7680232B"/>
    <w:rsid w:val="76813E09"/>
    <w:rsid w:val="76AC10DA"/>
    <w:rsid w:val="76DD70EF"/>
    <w:rsid w:val="76EB3B99"/>
    <w:rsid w:val="771D78D1"/>
    <w:rsid w:val="771F7BB7"/>
    <w:rsid w:val="77236B51"/>
    <w:rsid w:val="773B2D69"/>
    <w:rsid w:val="77B81150"/>
    <w:rsid w:val="77F15730"/>
    <w:rsid w:val="784C77A8"/>
    <w:rsid w:val="78534EEB"/>
    <w:rsid w:val="78815701"/>
    <w:rsid w:val="789558EC"/>
    <w:rsid w:val="78C61481"/>
    <w:rsid w:val="78D212D0"/>
    <w:rsid w:val="78DF040D"/>
    <w:rsid w:val="78E87E97"/>
    <w:rsid w:val="79007227"/>
    <w:rsid w:val="790427C1"/>
    <w:rsid w:val="790562C1"/>
    <w:rsid w:val="791169FF"/>
    <w:rsid w:val="79210DC5"/>
    <w:rsid w:val="79303DD2"/>
    <w:rsid w:val="79563ABF"/>
    <w:rsid w:val="79573BDF"/>
    <w:rsid w:val="79897FD9"/>
    <w:rsid w:val="798D4F57"/>
    <w:rsid w:val="79E30477"/>
    <w:rsid w:val="79F1399E"/>
    <w:rsid w:val="7A0D0580"/>
    <w:rsid w:val="7A2830D1"/>
    <w:rsid w:val="7A59058B"/>
    <w:rsid w:val="7A6A3D91"/>
    <w:rsid w:val="7A946E22"/>
    <w:rsid w:val="7A9B6A67"/>
    <w:rsid w:val="7B37410A"/>
    <w:rsid w:val="7B413480"/>
    <w:rsid w:val="7B5B70C9"/>
    <w:rsid w:val="7B605E2B"/>
    <w:rsid w:val="7BB50C09"/>
    <w:rsid w:val="7BB81B49"/>
    <w:rsid w:val="7BED7E69"/>
    <w:rsid w:val="7C1440A5"/>
    <w:rsid w:val="7C156CC3"/>
    <w:rsid w:val="7C1E2792"/>
    <w:rsid w:val="7C704867"/>
    <w:rsid w:val="7C78334C"/>
    <w:rsid w:val="7C8A75FE"/>
    <w:rsid w:val="7C9D6595"/>
    <w:rsid w:val="7CB0642D"/>
    <w:rsid w:val="7CB12B8F"/>
    <w:rsid w:val="7CD121C3"/>
    <w:rsid w:val="7CDE6ABF"/>
    <w:rsid w:val="7D0424A1"/>
    <w:rsid w:val="7D277415"/>
    <w:rsid w:val="7D401C57"/>
    <w:rsid w:val="7D7C57C7"/>
    <w:rsid w:val="7D7E7FBE"/>
    <w:rsid w:val="7D85252C"/>
    <w:rsid w:val="7D870E3C"/>
    <w:rsid w:val="7D9108A4"/>
    <w:rsid w:val="7D9A5264"/>
    <w:rsid w:val="7D9D796D"/>
    <w:rsid w:val="7DBA5570"/>
    <w:rsid w:val="7DD85DC4"/>
    <w:rsid w:val="7DE52A09"/>
    <w:rsid w:val="7DFE1506"/>
    <w:rsid w:val="7E884FD2"/>
    <w:rsid w:val="7EE1559C"/>
    <w:rsid w:val="7EE16EB6"/>
    <w:rsid w:val="7EE240F2"/>
    <w:rsid w:val="7EEC4414"/>
    <w:rsid w:val="7F5007C3"/>
    <w:rsid w:val="7F5A2949"/>
    <w:rsid w:val="7FA25148"/>
    <w:rsid w:val="7FAC1479"/>
    <w:rsid w:val="7FC4610B"/>
    <w:rsid w:val="7FED7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Arial Unicode MS"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2019-08-29T15:11:00Z</dcterms:created>
  <dc:creator>xiazh</dc:creator>
  <cp:lastModifiedBy>格格不入</cp:lastModifiedBy>
  <dcterms:modified xsi:type="dcterms:W3CDTF">2019-09-02T07:51:17Z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