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after="20" w:line="413" w:lineRule="auto"/>
        <w:jc w:val="center"/>
        <w:textAlignment w:val="auto"/>
        <w:rPr>
          <w:sz w:val="36"/>
          <w:szCs w:val="28"/>
        </w:rPr>
      </w:pPr>
      <w:r>
        <w:rPr>
          <w:sz w:val="36"/>
          <w:szCs w:val="28"/>
        </w:rPr>
        <w:t>榆林市国家综合货运枢纽“强链补链”</w:t>
      </w:r>
    </w:p>
    <w:p>
      <w:pPr>
        <w:pStyle w:val="3"/>
        <w:keepNext/>
        <w:keepLines/>
        <w:pageBreakBefore w:val="0"/>
        <w:widowControl w:val="0"/>
        <w:kinsoku/>
        <w:wordWrap/>
        <w:overflowPunct/>
        <w:topLinePunct w:val="0"/>
        <w:autoSpaceDE/>
        <w:autoSpaceDN/>
        <w:bidi w:val="0"/>
        <w:adjustRightInd/>
        <w:snapToGrid/>
        <w:spacing w:before="20" w:line="413" w:lineRule="auto"/>
        <w:jc w:val="center"/>
        <w:textAlignment w:val="auto"/>
        <w:rPr>
          <w:sz w:val="36"/>
          <w:szCs w:val="28"/>
        </w:rPr>
      </w:pPr>
      <w:r>
        <w:rPr>
          <w:rFonts w:hint="eastAsia"/>
          <w:sz w:val="36"/>
          <w:szCs w:val="28"/>
          <w:lang w:val="en-US" w:eastAsia="zh-Hans"/>
        </w:rPr>
        <w:t>“软联通”</w:t>
      </w:r>
      <w:r>
        <w:rPr>
          <w:sz w:val="36"/>
          <w:szCs w:val="28"/>
        </w:rPr>
        <w:t>建设方案</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textAlignment w:val="auto"/>
        <w:rPr>
          <w:rFonts w:hint="eastAsia" w:ascii="黑体" w:hAnsi="黑体" w:eastAsia="黑体" w:cs="黑体"/>
          <w:b/>
          <w:bCs/>
          <w:sz w:val="28"/>
          <w:szCs w:val="36"/>
        </w:rPr>
      </w:pPr>
      <w:bookmarkStart w:id="0" w:name="_GoBack"/>
      <w:bookmarkEnd w:id="0"/>
      <w:r>
        <w:rPr>
          <w:rFonts w:hint="eastAsia" w:ascii="黑体" w:hAnsi="黑体" w:eastAsia="黑体" w:cs="黑体"/>
          <w:b/>
          <w:bCs/>
          <w:sz w:val="28"/>
          <w:szCs w:val="36"/>
          <w:lang w:val="en-US" w:eastAsia="zh-CN"/>
        </w:rPr>
        <w:t>一、</w:t>
      </w:r>
      <w:r>
        <w:rPr>
          <w:rFonts w:hint="eastAsia" w:ascii="黑体" w:hAnsi="黑体" w:eastAsia="黑体" w:cs="黑体"/>
          <w:b/>
          <w:bCs/>
          <w:sz w:val="28"/>
          <w:szCs w:val="36"/>
        </w:rPr>
        <w:t>榆林市综合货运物流多式联运的现状格局</w:t>
      </w:r>
    </w:p>
    <w:p>
      <w:pPr>
        <w:spacing w:line="360" w:lineRule="auto"/>
        <w:ind w:firstLine="420"/>
        <w:rPr>
          <w:rFonts w:hint="eastAsia" w:ascii="黑体" w:hAnsi="黑体" w:eastAsia="黑体" w:cs="黑体"/>
          <w:b/>
          <w:bCs w:val="0"/>
          <w:sz w:val="24"/>
          <w:szCs w:val="32"/>
        </w:rPr>
      </w:pPr>
      <w:r>
        <w:rPr>
          <w:rFonts w:hint="eastAsia" w:ascii="黑体" w:hAnsi="黑体" w:eastAsia="黑体" w:cs="黑体"/>
          <w:b/>
          <w:bCs w:val="0"/>
          <w:sz w:val="24"/>
          <w:szCs w:val="32"/>
        </w:rPr>
        <w:t>1. 榆林市综合货运物流的发展现状</w:t>
      </w:r>
    </w:p>
    <w:p>
      <w:pPr>
        <w:numPr>
          <w:ilvl w:val="0"/>
          <w:numId w:val="0"/>
        </w:numPr>
        <w:spacing w:line="360" w:lineRule="auto"/>
        <w:ind w:firstLine="420" w:firstLineChars="0"/>
        <w:rPr>
          <w:rFonts w:hint="eastAsia" w:ascii="宋体" w:hAnsi="宋体" w:eastAsia="宋体" w:cs="宋体"/>
          <w:b w:val="0"/>
          <w:bCs/>
          <w:color w:val="auto"/>
          <w:sz w:val="22"/>
          <w:szCs w:val="22"/>
          <w:lang w:val="en-US" w:eastAsia="zh-CN"/>
        </w:rPr>
      </w:pPr>
      <w:r>
        <w:rPr>
          <w:rFonts w:hint="eastAsia" w:ascii="Times New Roman" w:hAnsi="Times New Roman" w:cs="Times New Roman"/>
          <w:b w:val="0"/>
          <w:bCs/>
          <w:sz w:val="22"/>
          <w:szCs w:val="22"/>
        </w:rPr>
        <w:t>榆林市依托能源开发、能源化工、有色金属加工等</w:t>
      </w:r>
      <w:r>
        <w:rPr>
          <w:rFonts w:hint="eastAsia" w:ascii="Times New Roman" w:hAnsi="Times New Roman" w:cs="Times New Roman"/>
          <w:b w:val="0"/>
          <w:bCs/>
          <w:sz w:val="22"/>
          <w:szCs w:val="22"/>
          <w:lang w:val="en-US" w:eastAsia="zh-CN"/>
        </w:rPr>
        <w:t>第二产业</w:t>
      </w:r>
      <w:r>
        <w:rPr>
          <w:rFonts w:hint="eastAsia" w:ascii="Times New Roman" w:hAnsi="Times New Roman" w:cs="Times New Roman"/>
          <w:b w:val="0"/>
          <w:bCs/>
          <w:sz w:val="22"/>
          <w:szCs w:val="22"/>
        </w:rPr>
        <w:t>，物流需求比较强劲</w:t>
      </w:r>
      <w:r>
        <w:rPr>
          <w:rFonts w:hint="eastAsia" w:ascii="Times New Roman" w:hAnsi="Times New Roman" w:cs="Times New Roman"/>
          <w:b w:val="0"/>
          <w:bCs/>
          <w:sz w:val="22"/>
          <w:szCs w:val="22"/>
          <w:lang w:eastAsia="zh-CN"/>
        </w:rPr>
        <w:t>。</w:t>
      </w:r>
      <w:r>
        <w:rPr>
          <w:rFonts w:hint="eastAsia" w:ascii="宋体" w:hAnsi="宋体" w:eastAsia="宋体" w:cs="宋体"/>
          <w:b w:val="0"/>
          <w:bCs/>
          <w:color w:val="auto"/>
          <w:sz w:val="22"/>
          <w:szCs w:val="22"/>
          <w:lang w:val="en-US" w:eastAsia="zh-CN"/>
        </w:rPr>
        <w:t>2021年度一二三产业增加值占生产总值的比重分别为 5.3%、68.2%和 26.5%，第二产业占比最高。工业方面，规上工业总产值首次突破七千亿元，产值同比增长55.9%。2021年全年全市煤炭产量首次突破5.5亿吨，达到5.52亿吨，同比增长6.2%，占全国煤炭总产量的13.6%，占榆林市主要工业品总产量的80.4%。重点化工产品产量稳步增长，全市初级形态塑料产量首次突破450万吨，达到487.36万吨,同比增长18.4%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仿宋_GB2312" w:hAnsi="微软雅黑" w:eastAsia="仿宋_GB2312" w:cs="仿宋_GB2312"/>
          <w:i w:val="0"/>
          <w:iCs w:val="0"/>
          <w:caps w:val="0"/>
          <w:color w:val="2B2B2B"/>
          <w:spacing w:val="0"/>
          <w:kern w:val="0"/>
          <w:sz w:val="28"/>
          <w:szCs w:val="28"/>
          <w:shd w:val="clear" w:fill="FFFFFF"/>
          <w:lang w:val="en-US" w:eastAsia="zh-CN" w:bidi="ar"/>
        </w:rPr>
      </w:pPr>
      <w:r>
        <w:rPr>
          <w:rFonts w:ascii="宋体" w:hAnsi="宋体" w:eastAsia="宋体" w:cs="宋体"/>
          <w:sz w:val="28"/>
          <w:szCs w:val="28"/>
        </w:rPr>
        <w:drawing>
          <wp:inline distT="0" distB="0" distL="114300" distR="114300">
            <wp:extent cx="4725670" cy="3374390"/>
            <wp:effectExtent l="0" t="0" r="11430" b="381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5"/>
                    <a:stretch>
                      <a:fillRect/>
                    </a:stretch>
                  </pic:blipFill>
                  <pic:spPr>
                    <a:xfrm>
                      <a:off x="0" y="0"/>
                      <a:ext cx="4725670" cy="337439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宋体" w:hAnsi="宋体" w:eastAsia="宋体" w:cs="宋体"/>
          <w:b w:val="0"/>
          <w:bCs/>
          <w:color w:val="auto"/>
          <w:sz w:val="22"/>
          <w:szCs w:val="22"/>
          <w:lang w:val="en-US" w:eastAsia="zh-CN"/>
        </w:rPr>
      </w:pPr>
      <w:r>
        <w:rPr>
          <w:rFonts w:hint="default" w:ascii="仿宋_GB2312" w:hAnsi="微软雅黑" w:eastAsia="仿宋_GB2312" w:cs="仿宋_GB2312"/>
          <w:i w:val="0"/>
          <w:iCs w:val="0"/>
          <w:caps w:val="0"/>
          <w:color w:val="2B2B2B"/>
          <w:spacing w:val="0"/>
          <w:kern w:val="0"/>
          <w:sz w:val="24"/>
          <w:szCs w:val="24"/>
          <w:shd w:val="clear" w:fill="FFFFFF"/>
          <w:lang w:val="en-US" w:eastAsia="zh-CN" w:bidi="ar"/>
        </w:rPr>
        <w:t>图1 榆林市多式联运节点分布示意</w:t>
      </w:r>
      <w:r>
        <w:rPr>
          <w:rFonts w:hint="eastAsia" w:ascii="仿宋_GB2312" w:hAnsi="微软雅黑" w:eastAsia="仿宋_GB2312" w:cs="仿宋_GB2312"/>
          <w:i w:val="0"/>
          <w:iCs w:val="0"/>
          <w:caps w:val="0"/>
          <w:color w:val="2B2B2B"/>
          <w:spacing w:val="0"/>
          <w:kern w:val="0"/>
          <w:sz w:val="24"/>
          <w:szCs w:val="24"/>
          <w:shd w:val="clear" w:fill="FFFFFF"/>
          <w:lang w:val="en-US" w:eastAsia="zh-CN" w:bidi="ar"/>
        </w:rPr>
        <w:t>图</w:t>
      </w:r>
      <w:r>
        <w:rPr>
          <w:rFonts w:hint="eastAsia" w:asciiTheme="minorHAnsi" w:eastAsiaTheme="minorEastAsia"/>
          <w:sz w:val="21"/>
          <w:szCs w:val="24"/>
          <w:lang w:val="en-US" w:eastAsia="zh-CN"/>
        </w:rPr>
        <w:t xml:space="preserve">  </w:t>
      </w:r>
    </w:p>
    <w:p>
      <w:pPr>
        <w:numPr>
          <w:ilvl w:val="0"/>
          <w:numId w:val="0"/>
        </w:numPr>
        <w:spacing w:line="360" w:lineRule="auto"/>
        <w:ind w:firstLine="420" w:firstLineChars="0"/>
        <w:rPr>
          <w:rFonts w:hint="default" w:ascii="仿宋_GB2312" w:hAnsi="微软雅黑" w:eastAsia="仿宋_GB2312" w:cs="仿宋_GB2312"/>
          <w:i w:val="0"/>
          <w:iCs w:val="0"/>
          <w:caps w:val="0"/>
          <w:color w:val="2B2B2B"/>
          <w:spacing w:val="0"/>
          <w:kern w:val="0"/>
          <w:sz w:val="24"/>
          <w:szCs w:val="24"/>
          <w:shd w:val="clear" w:fill="FFFFFF"/>
          <w:lang w:val="en-US" w:eastAsia="zh-CN" w:bidi="ar"/>
        </w:rPr>
      </w:pPr>
      <w:r>
        <w:rPr>
          <w:rFonts w:hint="eastAsia" w:ascii="Times New Roman" w:hAnsi="Times New Roman" w:cs="Times New Roman"/>
          <w:b w:val="0"/>
          <w:bCs/>
          <w:color w:val="auto"/>
          <w:sz w:val="22"/>
          <w:szCs w:val="22"/>
          <w:highlight w:val="none"/>
          <w:lang w:val="en-US" w:eastAsia="zh-CN"/>
        </w:rPr>
        <w:t>2021</w:t>
      </w:r>
      <w:r>
        <w:rPr>
          <w:rFonts w:hint="eastAsia" w:ascii="Times New Roman" w:hAnsi="Times New Roman" w:cs="Times New Roman"/>
          <w:b w:val="0"/>
          <w:bCs/>
          <w:color w:val="auto"/>
          <w:sz w:val="22"/>
          <w:szCs w:val="22"/>
          <w:highlight w:val="none"/>
        </w:rPr>
        <w:t>年，全市社会物流总额突破4300亿元，年均增长10.1%；物流业实现增加值338.87亿元，同比增长10.1%，</w:t>
      </w:r>
      <w:r>
        <w:rPr>
          <w:rFonts w:hint="eastAsia" w:ascii="Times New Roman" w:hAnsi="Times New Roman" w:cs="Times New Roman"/>
          <w:b w:val="0"/>
          <w:bCs/>
          <w:color w:val="auto"/>
          <w:sz w:val="22"/>
          <w:szCs w:val="22"/>
          <w:highlight w:val="none"/>
        </w:rPr>
        <w:t>占GDP比重5.6%；社会物流总费用570亿元，占GDP比重为19%。</w:t>
      </w:r>
      <w:r>
        <w:rPr>
          <w:rFonts w:hint="eastAsia" w:ascii="宋体" w:hAnsi="宋体" w:eastAsia="宋体" w:cs="宋体"/>
          <w:b w:val="0"/>
          <w:bCs/>
          <w:color w:val="auto"/>
          <w:sz w:val="22"/>
          <w:szCs w:val="22"/>
          <w:highlight w:val="none"/>
          <w:lang w:val="en-US" w:eastAsia="zh-CN"/>
        </w:rPr>
        <w:t>运输方式上，2021年</w:t>
      </w:r>
      <w:r>
        <w:rPr>
          <w:rFonts w:hint="eastAsia" w:ascii="宋体" w:hAnsi="宋体" w:eastAsia="宋体" w:cs="宋体"/>
          <w:b w:val="0"/>
          <w:bCs/>
          <w:color w:val="auto"/>
          <w:sz w:val="22"/>
          <w:szCs w:val="22"/>
          <w:highlight w:val="none"/>
          <w:lang w:val="en-US" w:eastAsia="zh-Hans"/>
        </w:rPr>
        <w:t>铁路运输货运量25238.00万吨，比上年增长13.8%，货运周转量552.26亿吨公里，增</w:t>
      </w:r>
      <w:r>
        <w:rPr>
          <w:rFonts w:hint="eastAsia" w:ascii="宋体" w:hAnsi="宋体" w:eastAsia="宋体" w:cs="宋体"/>
          <w:b w:val="0"/>
          <w:bCs/>
          <w:color w:val="auto"/>
          <w:sz w:val="22"/>
          <w:szCs w:val="22"/>
          <w:lang w:val="en-US" w:eastAsia="zh-Hans"/>
        </w:rPr>
        <w:t>长12.4%；公路运输中，货运量28528.90万吨，增长</w:t>
      </w:r>
      <w:r>
        <w:rPr>
          <w:rFonts w:hint="eastAsia" w:ascii="宋体" w:hAnsi="宋体" w:eastAsia="宋体" w:cs="宋体"/>
          <w:b w:val="0"/>
          <w:bCs/>
          <w:color w:val="auto"/>
          <w:sz w:val="22"/>
          <w:szCs w:val="22"/>
          <w:highlight w:val="none"/>
          <w:lang w:val="en-US" w:eastAsia="zh-Hans"/>
        </w:rPr>
        <w:t>6.0%，货物周转量548.26亿吨公里，下降0.6%。目前榆林市有货运站场12个、一般货运公司446家、零担货运公司60家，</w:t>
      </w:r>
      <w:r>
        <w:rPr>
          <w:rFonts w:hint="eastAsia" w:ascii="宋体" w:hAnsi="宋体" w:eastAsia="宋体" w:cs="宋体"/>
          <w:b w:val="0"/>
          <w:bCs/>
          <w:color w:val="auto"/>
          <w:sz w:val="22"/>
          <w:szCs w:val="22"/>
          <w:highlight w:val="none"/>
          <w:lang w:val="en-US" w:eastAsia="zh-CN"/>
        </w:rPr>
        <w:t>公铁联运中心5个，</w:t>
      </w:r>
      <w:r>
        <w:rPr>
          <w:rFonts w:hint="eastAsia" w:ascii="宋体" w:hAnsi="宋体" w:eastAsia="宋体" w:cs="宋体"/>
          <w:b w:val="0"/>
          <w:bCs/>
          <w:color w:val="auto"/>
          <w:sz w:val="22"/>
          <w:szCs w:val="22"/>
          <w:highlight w:val="none"/>
          <w:lang w:val="en-US" w:eastAsia="zh-Hans"/>
        </w:rPr>
        <w:t>规划建设具备一定规模的物流园区有1</w:t>
      </w:r>
      <w:r>
        <w:rPr>
          <w:rFonts w:hint="eastAsia" w:ascii="宋体" w:hAnsi="宋体" w:eastAsia="宋体" w:cs="宋体"/>
          <w:b w:val="0"/>
          <w:bCs/>
          <w:color w:val="auto"/>
          <w:sz w:val="22"/>
          <w:szCs w:val="22"/>
          <w:highlight w:val="none"/>
          <w:lang w:val="en-US" w:eastAsia="zh-CN"/>
        </w:rPr>
        <w:t>5</w:t>
      </w:r>
      <w:r>
        <w:rPr>
          <w:rFonts w:hint="eastAsia" w:ascii="宋体" w:hAnsi="宋体" w:eastAsia="宋体" w:cs="宋体"/>
          <w:b w:val="0"/>
          <w:bCs/>
          <w:color w:val="auto"/>
          <w:sz w:val="22"/>
          <w:szCs w:val="22"/>
          <w:highlight w:val="none"/>
          <w:lang w:val="en-US" w:eastAsia="zh-Hans"/>
        </w:rPr>
        <w:t>处以上。榆林市货车保有量约为</w:t>
      </w:r>
      <w:r>
        <w:rPr>
          <w:rFonts w:hint="default" w:ascii="宋体" w:hAnsi="宋体" w:eastAsia="宋体" w:cs="宋体"/>
          <w:b w:val="0"/>
          <w:bCs/>
          <w:color w:val="auto"/>
          <w:sz w:val="22"/>
          <w:szCs w:val="22"/>
          <w:highlight w:val="none"/>
          <w:lang w:eastAsia="zh-Hans"/>
        </w:rPr>
        <w:t>10</w:t>
      </w:r>
      <w:r>
        <w:rPr>
          <w:rFonts w:hint="eastAsia" w:ascii="宋体" w:hAnsi="宋体" w:eastAsia="宋体" w:cs="宋体"/>
          <w:b w:val="0"/>
          <w:bCs/>
          <w:color w:val="auto"/>
          <w:sz w:val="22"/>
          <w:szCs w:val="22"/>
          <w:highlight w:val="none"/>
          <w:lang w:val="en-US" w:eastAsia="zh-Hans"/>
        </w:rPr>
        <w:t>万辆，约占榆林市运输车辆比重36%</w:t>
      </w:r>
      <w:r>
        <w:rPr>
          <w:rFonts w:hint="eastAsia" w:ascii="宋体" w:hAnsi="宋体" w:eastAsia="宋体" w:cs="宋体"/>
          <w:b w:val="0"/>
          <w:bCs/>
          <w:color w:val="auto"/>
          <w:sz w:val="22"/>
          <w:szCs w:val="22"/>
          <w:highlight w:val="none"/>
          <w:lang w:val="en-US" w:eastAsia="zh-CN"/>
        </w:rPr>
        <w:t>，柴油车占比</w:t>
      </w:r>
      <w:r>
        <w:rPr>
          <w:rFonts w:hint="default" w:ascii="宋体" w:hAnsi="宋体" w:eastAsia="宋体" w:cs="宋体"/>
          <w:b w:val="0"/>
          <w:bCs/>
          <w:color w:val="auto"/>
          <w:sz w:val="22"/>
          <w:szCs w:val="22"/>
          <w:highlight w:val="none"/>
          <w:lang w:eastAsia="zh-CN"/>
        </w:rPr>
        <w:t>30</w:t>
      </w:r>
      <w:r>
        <w:rPr>
          <w:rFonts w:hint="eastAsia" w:ascii="宋体" w:hAnsi="宋体" w:eastAsia="宋体" w:cs="宋体"/>
          <w:b w:val="0"/>
          <w:bCs/>
          <w:color w:val="auto"/>
          <w:sz w:val="22"/>
          <w:szCs w:val="22"/>
          <w:highlight w:val="none"/>
          <w:lang w:val="en-US" w:eastAsia="zh-CN"/>
        </w:rPr>
        <w:t>%</w:t>
      </w:r>
      <w:r>
        <w:rPr>
          <w:rFonts w:hint="eastAsia" w:ascii="宋体" w:hAnsi="宋体" w:eastAsia="宋体" w:cs="宋体"/>
          <w:b w:val="0"/>
          <w:bCs/>
          <w:color w:val="auto"/>
          <w:sz w:val="22"/>
          <w:szCs w:val="22"/>
          <w:highlight w:val="none"/>
          <w:lang w:val="en-US" w:eastAsia="zh-CN"/>
        </w:rPr>
        <w:t>，</w:t>
      </w:r>
      <w:r>
        <w:rPr>
          <w:rFonts w:hint="default" w:ascii="宋体" w:hAnsi="宋体" w:eastAsia="宋体" w:cs="宋体"/>
          <w:b w:val="0"/>
          <w:bCs/>
          <w:color w:val="auto"/>
          <w:sz w:val="22"/>
          <w:szCs w:val="22"/>
          <w:highlight w:val="none"/>
          <w:lang w:eastAsia="zh-CN"/>
        </w:rPr>
        <w:t>LNG</w:t>
      </w:r>
      <w:r>
        <w:rPr>
          <w:rFonts w:hint="eastAsia" w:ascii="宋体" w:hAnsi="宋体" w:eastAsia="宋体" w:cs="宋体"/>
          <w:b w:val="0"/>
          <w:bCs/>
          <w:color w:val="auto"/>
          <w:sz w:val="22"/>
          <w:szCs w:val="22"/>
          <w:highlight w:val="none"/>
          <w:lang w:val="en-US" w:eastAsia="zh-Hans"/>
        </w:rPr>
        <w:t>重卡占比</w:t>
      </w:r>
      <w:r>
        <w:rPr>
          <w:rFonts w:hint="default" w:ascii="宋体" w:hAnsi="宋体" w:eastAsia="宋体" w:cs="宋体"/>
          <w:b w:val="0"/>
          <w:bCs/>
          <w:color w:val="auto"/>
          <w:sz w:val="22"/>
          <w:szCs w:val="22"/>
          <w:highlight w:val="none"/>
          <w:lang w:eastAsia="zh-Hans"/>
        </w:rPr>
        <w:t>69</w:t>
      </w:r>
      <w:r>
        <w:rPr>
          <w:rFonts w:hint="eastAsia" w:ascii="宋体" w:hAnsi="宋体" w:eastAsia="宋体" w:cs="宋体"/>
          <w:b w:val="0"/>
          <w:bCs/>
          <w:color w:val="auto"/>
          <w:sz w:val="22"/>
          <w:szCs w:val="22"/>
          <w:highlight w:val="none"/>
          <w:lang w:val="en-US" w:eastAsia="zh-Hans"/>
        </w:rPr>
        <w:t>.</w:t>
      </w:r>
      <w:r>
        <w:rPr>
          <w:rFonts w:hint="default" w:ascii="宋体" w:hAnsi="宋体" w:eastAsia="宋体" w:cs="宋体"/>
          <w:b w:val="0"/>
          <w:bCs/>
          <w:color w:val="auto"/>
          <w:sz w:val="22"/>
          <w:szCs w:val="22"/>
          <w:highlight w:val="none"/>
          <w:lang w:eastAsia="zh-Hans"/>
        </w:rPr>
        <w:t>8%，</w:t>
      </w:r>
      <w:r>
        <w:rPr>
          <w:rFonts w:hint="eastAsia" w:ascii="宋体" w:hAnsi="宋体" w:eastAsia="宋体" w:cs="宋体"/>
          <w:b w:val="0"/>
          <w:bCs/>
          <w:color w:val="auto"/>
          <w:sz w:val="22"/>
          <w:szCs w:val="22"/>
          <w:highlight w:val="none"/>
          <w:lang w:val="en-US" w:eastAsia="zh-CN"/>
        </w:rPr>
        <w:t>新能源货车占比</w:t>
      </w:r>
      <w:r>
        <w:rPr>
          <w:rFonts w:hint="default" w:ascii="宋体" w:hAnsi="宋体" w:eastAsia="宋体" w:cs="宋体"/>
          <w:b w:val="0"/>
          <w:bCs/>
          <w:color w:val="auto"/>
          <w:sz w:val="22"/>
          <w:szCs w:val="22"/>
          <w:highlight w:val="none"/>
          <w:lang w:eastAsia="zh-CN"/>
        </w:rPr>
        <w:t>0</w:t>
      </w:r>
      <w:r>
        <w:rPr>
          <w:rFonts w:hint="eastAsia" w:ascii="宋体" w:hAnsi="宋体" w:eastAsia="宋体" w:cs="宋体"/>
          <w:b w:val="0"/>
          <w:bCs/>
          <w:color w:val="auto"/>
          <w:sz w:val="22"/>
          <w:szCs w:val="22"/>
          <w:highlight w:val="none"/>
          <w:lang w:val="en-US" w:eastAsia="zh-Hans"/>
        </w:rPr>
        <w:t>.</w:t>
      </w:r>
      <w:r>
        <w:rPr>
          <w:rFonts w:hint="default" w:ascii="宋体" w:hAnsi="宋体" w:eastAsia="宋体" w:cs="宋体"/>
          <w:b w:val="0"/>
          <w:bCs/>
          <w:color w:val="auto"/>
          <w:sz w:val="22"/>
          <w:szCs w:val="22"/>
          <w:highlight w:val="none"/>
          <w:lang w:eastAsia="zh-Hans"/>
        </w:rPr>
        <w:t>2</w:t>
      </w:r>
      <w:r>
        <w:rPr>
          <w:rFonts w:hint="eastAsia" w:ascii="宋体" w:hAnsi="宋体" w:eastAsia="宋体" w:cs="宋体"/>
          <w:b w:val="0"/>
          <w:bCs/>
          <w:color w:val="auto"/>
          <w:sz w:val="22"/>
          <w:szCs w:val="22"/>
          <w:highlight w:val="none"/>
          <w:lang w:val="en-US" w:eastAsia="zh-CN"/>
        </w:rPr>
        <w:t>%</w:t>
      </w:r>
      <w:r>
        <w:rPr>
          <w:rFonts w:hint="eastAsia" w:ascii="宋体" w:hAnsi="宋体" w:eastAsia="宋体" w:cs="宋体"/>
          <w:b w:val="0"/>
          <w:bCs/>
          <w:color w:val="auto"/>
          <w:sz w:val="22"/>
          <w:szCs w:val="22"/>
          <w:highlight w:val="none"/>
          <w:lang w:val="en-US" w:eastAsia="zh-Hans"/>
        </w:rPr>
        <w:t>。</w:t>
      </w:r>
    </w:p>
    <w:p>
      <w:pPr>
        <w:spacing w:line="360" w:lineRule="auto"/>
        <w:ind w:firstLine="420"/>
        <w:rPr>
          <w:rFonts w:hint="eastAsia" w:ascii="黑体" w:hAnsi="黑体" w:eastAsia="黑体" w:cs="黑体"/>
          <w:b/>
          <w:bCs w:val="0"/>
          <w:sz w:val="24"/>
          <w:szCs w:val="32"/>
        </w:rPr>
      </w:pPr>
      <w:r>
        <w:rPr>
          <w:rFonts w:hint="eastAsia" w:ascii="黑体" w:hAnsi="黑体" w:eastAsia="黑体" w:cs="黑体"/>
          <w:b/>
          <w:bCs w:val="0"/>
          <w:sz w:val="24"/>
          <w:szCs w:val="32"/>
        </w:rPr>
        <w:t>2. 榆林市综合货运物流多式联运的现状</w:t>
      </w:r>
    </w:p>
    <w:p>
      <w:pPr>
        <w:spacing w:line="360" w:lineRule="auto"/>
        <w:ind w:firstLine="420" w:firstLineChars="0"/>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sz w:val="22"/>
          <w:szCs w:val="22"/>
          <w:lang w:val="en-US" w:eastAsia="zh-CN"/>
        </w:rPr>
        <w:t>煤炭在榆林市运输货物类型中占比80%以上，多式联运发展属煤炭行业最具代表性，故以此为例，其他产业同如此。</w:t>
      </w:r>
    </w:p>
    <w:p>
      <w:pPr>
        <w:spacing w:line="360" w:lineRule="auto"/>
        <w:ind w:firstLine="420"/>
        <w:rPr>
          <w:rFonts w:hint="eastAsia" w:ascii="宋体" w:hAnsi="宋体" w:eastAsia="宋体" w:cs="宋体"/>
          <w:b w:val="0"/>
          <w:bCs/>
          <w:sz w:val="22"/>
          <w:szCs w:val="22"/>
        </w:rPr>
      </w:pPr>
      <w:r>
        <w:rPr>
          <w:rFonts w:hint="eastAsia" w:ascii="宋体" w:hAnsi="宋体" w:eastAsia="宋体" w:cs="宋体"/>
          <w:b w:val="0"/>
          <w:bCs/>
          <w:sz w:val="22"/>
          <w:szCs w:val="22"/>
        </w:rPr>
        <w:t>（1）煤炭供应商上游的信息化现状</w:t>
      </w:r>
    </w:p>
    <w:p>
      <w:pPr>
        <w:spacing w:line="360" w:lineRule="auto"/>
        <w:ind w:firstLine="420"/>
        <w:rPr>
          <w:rFonts w:hint="eastAsia" w:ascii="宋体" w:hAnsi="宋体" w:eastAsia="宋体" w:cs="宋体"/>
          <w:b w:val="0"/>
          <w:bCs/>
          <w:sz w:val="22"/>
          <w:szCs w:val="22"/>
        </w:rPr>
      </w:pPr>
      <w:r>
        <w:rPr>
          <w:rFonts w:hint="eastAsia" w:ascii="宋体" w:hAnsi="宋体" w:eastAsia="宋体" w:cs="宋体"/>
          <w:b w:val="0"/>
          <w:bCs/>
          <w:sz w:val="22"/>
          <w:szCs w:val="22"/>
        </w:rPr>
        <w:t>榆林市现有各类煤矿企业790家，其中大型矿山8个，中型矿山12个，小型矿山及小矿770个。煤炭企业生产环境和条件特殊，开采条件复杂多变，对安全性和可靠性要求很高，信息化程度也随之而提升。在煤炭生产过程中技术装备先进，生产所采用的成套钻探、采掘、提升、运输、通风、供排水、供电、选煤等设备均已智能化。在煤炭销售环节无人称重系统、安全监控系统、智能排队系统只有部分大中型煤矿使用，70%以上依然采用传统的纸质信息留存。</w:t>
      </w:r>
    </w:p>
    <w:p>
      <w:pPr>
        <w:spacing w:line="360" w:lineRule="auto"/>
        <w:ind w:firstLine="420"/>
        <w:rPr>
          <w:rFonts w:hint="eastAsia" w:ascii="宋体" w:hAnsi="宋体" w:eastAsia="宋体" w:cs="宋体"/>
          <w:b w:val="0"/>
          <w:bCs/>
          <w:sz w:val="22"/>
          <w:szCs w:val="22"/>
        </w:rPr>
      </w:pPr>
      <w:r>
        <w:rPr>
          <w:rFonts w:hint="eastAsia" w:ascii="宋体" w:hAnsi="宋体" w:eastAsia="宋体" w:cs="宋体"/>
          <w:b w:val="0"/>
          <w:bCs/>
          <w:sz w:val="22"/>
          <w:szCs w:val="22"/>
        </w:rPr>
        <w:t>（2）煤炭公路运输环节信息化现状</w:t>
      </w:r>
    </w:p>
    <w:p>
      <w:pPr>
        <w:spacing w:line="360" w:lineRule="auto"/>
        <w:ind w:firstLine="420"/>
        <w:rPr>
          <w:rFonts w:hint="default" w:ascii="宋体" w:hAnsi="宋体" w:eastAsia="宋体" w:cs="宋体"/>
          <w:b w:val="0"/>
          <w:bCs/>
          <w:color w:val="auto"/>
          <w:sz w:val="22"/>
          <w:szCs w:val="22"/>
          <w:highlight w:val="none"/>
          <w:lang w:eastAsia="zh-Hans"/>
        </w:rPr>
      </w:pPr>
      <w:r>
        <w:rPr>
          <w:rFonts w:hint="eastAsia" w:ascii="宋体" w:hAnsi="宋体" w:eastAsia="宋体" w:cs="宋体"/>
          <w:b w:val="0"/>
          <w:bCs/>
          <w:color w:val="auto"/>
          <w:sz w:val="22"/>
          <w:szCs w:val="22"/>
          <w:highlight w:val="none"/>
          <w:lang w:val="en-US" w:eastAsia="zh-CN"/>
        </w:rPr>
        <w:t>榆林煤炭销售省内占</w:t>
      </w:r>
      <w:r>
        <w:rPr>
          <w:rFonts w:hint="eastAsia" w:ascii="宋体" w:hAnsi="宋体" w:eastAsia="宋体" w:cs="宋体"/>
          <w:b w:val="0"/>
          <w:bCs/>
          <w:color w:val="auto"/>
          <w:sz w:val="22"/>
          <w:szCs w:val="22"/>
          <w:highlight w:val="none"/>
          <w:lang w:val="en-US" w:eastAsia="zh-Hans"/>
        </w:rPr>
        <w:t>比</w:t>
      </w:r>
      <w:r>
        <w:rPr>
          <w:rFonts w:hint="eastAsia" w:ascii="宋体" w:hAnsi="宋体" w:eastAsia="宋体" w:cs="宋体"/>
          <w:b w:val="0"/>
          <w:bCs/>
          <w:color w:val="auto"/>
          <w:sz w:val="22"/>
          <w:szCs w:val="22"/>
          <w:highlight w:val="none"/>
          <w:lang w:val="en-US" w:eastAsia="zh-CN"/>
        </w:rPr>
        <w:t>38.5%，省外占</w:t>
      </w:r>
      <w:r>
        <w:rPr>
          <w:rFonts w:hint="eastAsia" w:ascii="宋体" w:hAnsi="宋体" w:eastAsia="宋体" w:cs="宋体"/>
          <w:b w:val="0"/>
          <w:bCs/>
          <w:color w:val="auto"/>
          <w:sz w:val="22"/>
          <w:szCs w:val="22"/>
          <w:highlight w:val="none"/>
          <w:lang w:val="en-US" w:eastAsia="zh-Hans"/>
        </w:rPr>
        <w:t>比</w:t>
      </w:r>
      <w:r>
        <w:rPr>
          <w:rFonts w:hint="eastAsia" w:ascii="宋体" w:hAnsi="宋体" w:eastAsia="宋体" w:cs="宋体"/>
          <w:b w:val="0"/>
          <w:bCs/>
          <w:color w:val="auto"/>
          <w:sz w:val="22"/>
          <w:szCs w:val="22"/>
          <w:highlight w:val="none"/>
          <w:lang w:val="en-US" w:eastAsia="zh-CN"/>
        </w:rPr>
        <w:t>61.5%。其中，京津唐占24%、山西占16%、河北占13%、河南占3.5%、山东占2.3%、湖北占0.9%，运输主要通过</w:t>
      </w:r>
      <w:r>
        <w:rPr>
          <w:rFonts w:hint="eastAsia" w:ascii="宋体" w:hAnsi="宋体" w:eastAsia="宋体" w:cs="宋体"/>
          <w:b w:val="0"/>
          <w:bCs/>
          <w:color w:val="auto"/>
          <w:sz w:val="22"/>
          <w:szCs w:val="22"/>
          <w:highlight w:val="none"/>
          <w:lang w:val="en-US" w:eastAsia="zh-Hans"/>
        </w:rPr>
        <w:t>公路</w:t>
      </w:r>
      <w:r>
        <w:rPr>
          <w:rFonts w:hint="default" w:ascii="宋体" w:hAnsi="宋体" w:eastAsia="宋体" w:cs="宋体"/>
          <w:b w:val="0"/>
          <w:bCs/>
          <w:color w:val="auto"/>
          <w:sz w:val="22"/>
          <w:szCs w:val="22"/>
          <w:highlight w:val="none"/>
          <w:lang w:eastAsia="zh-Hans"/>
        </w:rPr>
        <w:t>、</w:t>
      </w:r>
      <w:r>
        <w:rPr>
          <w:rFonts w:hint="eastAsia" w:ascii="宋体" w:hAnsi="宋体" w:eastAsia="宋体" w:cs="宋体"/>
          <w:b w:val="0"/>
          <w:bCs/>
          <w:color w:val="auto"/>
          <w:sz w:val="22"/>
          <w:szCs w:val="22"/>
          <w:highlight w:val="none"/>
          <w:lang w:val="en-US" w:eastAsia="zh-CN"/>
        </w:rPr>
        <w:t>铁路</w:t>
      </w:r>
      <w:r>
        <w:rPr>
          <w:rFonts w:hint="eastAsia" w:ascii="宋体" w:hAnsi="宋体" w:eastAsia="宋体" w:cs="宋体"/>
          <w:b w:val="0"/>
          <w:bCs/>
          <w:color w:val="auto"/>
          <w:sz w:val="22"/>
          <w:szCs w:val="22"/>
          <w:highlight w:val="none"/>
          <w:lang w:val="en-US" w:eastAsia="zh-Hans"/>
        </w:rPr>
        <w:t>和公铁联运的方式</w:t>
      </w:r>
      <w:r>
        <w:rPr>
          <w:rFonts w:hint="default" w:ascii="宋体" w:hAnsi="宋体" w:eastAsia="宋体" w:cs="宋体"/>
          <w:b w:val="0"/>
          <w:bCs/>
          <w:color w:val="auto"/>
          <w:sz w:val="22"/>
          <w:szCs w:val="22"/>
          <w:highlight w:val="none"/>
          <w:lang w:eastAsia="zh-CN"/>
        </w:rPr>
        <w:t>，</w:t>
      </w:r>
      <w:r>
        <w:rPr>
          <w:rFonts w:hint="eastAsia" w:ascii="宋体" w:hAnsi="宋体" w:eastAsia="宋体" w:cs="宋体"/>
          <w:b w:val="0"/>
          <w:bCs/>
          <w:color w:val="auto"/>
          <w:sz w:val="22"/>
          <w:szCs w:val="22"/>
          <w:highlight w:val="none"/>
          <w:lang w:val="en-US" w:eastAsia="zh-Hans"/>
        </w:rPr>
        <w:t>其中公路参与部分占比达</w:t>
      </w:r>
      <w:r>
        <w:rPr>
          <w:rFonts w:hint="default" w:ascii="宋体" w:hAnsi="宋体" w:eastAsia="宋体" w:cs="宋体"/>
          <w:b w:val="0"/>
          <w:bCs/>
          <w:color w:val="auto"/>
          <w:sz w:val="22"/>
          <w:szCs w:val="22"/>
          <w:highlight w:val="none"/>
          <w:lang w:eastAsia="zh-Hans"/>
        </w:rPr>
        <w:t>80%</w:t>
      </w:r>
      <w:r>
        <w:rPr>
          <w:rFonts w:hint="eastAsia" w:ascii="宋体" w:hAnsi="宋体" w:eastAsia="宋体" w:cs="宋体"/>
          <w:b w:val="0"/>
          <w:bCs/>
          <w:color w:val="auto"/>
          <w:sz w:val="22"/>
          <w:szCs w:val="22"/>
          <w:highlight w:val="none"/>
          <w:lang w:val="en-US" w:eastAsia="zh-CN"/>
        </w:rPr>
        <w:t>。2021年，榆林市公路货运总额约2000亿人民币；其中煤炭运输占比55%左右，共计1100亿人民币，目前榆林煤炭运输仅有</w:t>
      </w:r>
      <w:r>
        <w:rPr>
          <w:rFonts w:hint="default" w:ascii="宋体" w:hAnsi="宋体" w:eastAsia="宋体" w:cs="宋体"/>
          <w:b w:val="0"/>
          <w:bCs/>
          <w:color w:val="auto"/>
          <w:sz w:val="22"/>
          <w:szCs w:val="22"/>
          <w:highlight w:val="none"/>
          <w:lang w:eastAsia="zh-CN"/>
        </w:rPr>
        <w:t>2</w:t>
      </w:r>
      <w:r>
        <w:rPr>
          <w:rFonts w:hint="eastAsia" w:ascii="宋体" w:hAnsi="宋体" w:eastAsia="宋体" w:cs="宋体"/>
          <w:b w:val="0"/>
          <w:bCs/>
          <w:color w:val="auto"/>
          <w:sz w:val="22"/>
          <w:szCs w:val="22"/>
          <w:highlight w:val="none"/>
          <w:lang w:val="en-US" w:eastAsia="zh-CN"/>
        </w:rPr>
        <w:t>0%左右</w:t>
      </w:r>
      <w:r>
        <w:rPr>
          <w:rFonts w:hint="default" w:ascii="宋体" w:hAnsi="宋体" w:eastAsia="宋体" w:cs="宋体"/>
          <w:b w:val="0"/>
          <w:bCs/>
          <w:color w:val="auto"/>
          <w:sz w:val="22"/>
          <w:szCs w:val="22"/>
          <w:highlight w:val="none"/>
          <w:lang w:eastAsia="zh-CN"/>
        </w:rPr>
        <w:t>，</w:t>
      </w:r>
      <w:r>
        <w:rPr>
          <w:rFonts w:hint="eastAsia" w:ascii="宋体" w:hAnsi="宋体" w:eastAsia="宋体" w:cs="宋体"/>
          <w:b w:val="0"/>
          <w:bCs/>
          <w:color w:val="auto"/>
          <w:sz w:val="22"/>
          <w:szCs w:val="22"/>
          <w:highlight w:val="none"/>
          <w:lang w:val="en-US" w:eastAsia="zh-Hans"/>
        </w:rPr>
        <w:t>约</w:t>
      </w:r>
      <w:r>
        <w:rPr>
          <w:rFonts w:hint="default" w:ascii="宋体" w:hAnsi="宋体" w:eastAsia="宋体" w:cs="宋体"/>
          <w:b w:val="0"/>
          <w:bCs/>
          <w:color w:val="auto"/>
          <w:sz w:val="22"/>
          <w:szCs w:val="22"/>
          <w:highlight w:val="none"/>
          <w:lang w:eastAsia="zh-Hans"/>
        </w:rPr>
        <w:t>220</w:t>
      </w:r>
      <w:r>
        <w:rPr>
          <w:rFonts w:hint="eastAsia" w:ascii="宋体" w:hAnsi="宋体" w:eastAsia="宋体" w:cs="宋体"/>
          <w:b w:val="0"/>
          <w:bCs/>
          <w:color w:val="auto"/>
          <w:sz w:val="22"/>
          <w:szCs w:val="22"/>
          <w:highlight w:val="none"/>
          <w:lang w:val="en-US" w:eastAsia="zh-Hans"/>
        </w:rPr>
        <w:t>亿元</w:t>
      </w:r>
      <w:r>
        <w:rPr>
          <w:rFonts w:hint="eastAsia" w:ascii="宋体" w:hAnsi="宋体" w:eastAsia="宋体" w:cs="宋体"/>
          <w:b w:val="0"/>
          <w:bCs/>
          <w:color w:val="auto"/>
          <w:sz w:val="22"/>
          <w:szCs w:val="22"/>
          <w:highlight w:val="none"/>
          <w:lang w:val="en-US" w:eastAsia="zh-CN"/>
        </w:rPr>
        <w:t>通过</w:t>
      </w:r>
      <w:r>
        <w:rPr>
          <w:rFonts w:hint="eastAsia" w:ascii="宋体" w:hAnsi="宋体" w:eastAsia="宋体" w:cs="宋体"/>
          <w:b w:val="0"/>
          <w:bCs/>
          <w:color w:val="auto"/>
          <w:sz w:val="22"/>
          <w:szCs w:val="22"/>
          <w:highlight w:val="none"/>
          <w:lang w:val="en-US" w:eastAsia="zh-Hans"/>
        </w:rPr>
        <w:t>榆林市当地</w:t>
      </w:r>
      <w:r>
        <w:rPr>
          <w:rFonts w:hint="eastAsia" w:ascii="宋体" w:hAnsi="宋体" w:eastAsia="宋体" w:cs="宋体"/>
          <w:b w:val="0"/>
          <w:bCs/>
          <w:color w:val="auto"/>
          <w:sz w:val="22"/>
          <w:szCs w:val="22"/>
          <w:highlight w:val="none"/>
          <w:lang w:val="en-US" w:eastAsia="zh-CN"/>
        </w:rPr>
        <w:t>网络货运平台</w:t>
      </w:r>
      <w:r>
        <w:rPr>
          <w:rFonts w:hint="eastAsia" w:ascii="宋体" w:hAnsi="宋体" w:eastAsia="宋体" w:cs="宋体"/>
          <w:b w:val="0"/>
          <w:bCs/>
          <w:color w:val="auto"/>
          <w:sz w:val="22"/>
          <w:szCs w:val="22"/>
          <w:highlight w:val="none"/>
          <w:lang w:val="en-US" w:eastAsia="zh-Hans"/>
        </w:rPr>
        <w:t>企业和实体物流企业来完成</w:t>
      </w:r>
      <w:r>
        <w:rPr>
          <w:rFonts w:hint="default" w:ascii="宋体" w:hAnsi="宋体" w:eastAsia="宋体" w:cs="宋体"/>
          <w:b w:val="0"/>
          <w:bCs/>
          <w:color w:val="auto"/>
          <w:sz w:val="22"/>
          <w:szCs w:val="22"/>
          <w:highlight w:val="none"/>
          <w:lang w:eastAsia="zh-Hans"/>
        </w:rPr>
        <w:t>，</w:t>
      </w:r>
      <w:r>
        <w:rPr>
          <w:rFonts w:hint="eastAsia" w:ascii="宋体" w:hAnsi="宋体" w:eastAsia="宋体" w:cs="宋体"/>
          <w:b w:val="0"/>
          <w:bCs/>
          <w:color w:val="auto"/>
          <w:sz w:val="22"/>
          <w:szCs w:val="22"/>
          <w:highlight w:val="none"/>
          <w:lang w:val="en-US" w:eastAsia="zh-Hans"/>
        </w:rPr>
        <w:t>因公路运输环节信息化的不完整</w:t>
      </w:r>
      <w:r>
        <w:rPr>
          <w:rFonts w:hint="default" w:ascii="宋体" w:hAnsi="宋体" w:eastAsia="宋体" w:cs="宋体"/>
          <w:b w:val="0"/>
          <w:bCs/>
          <w:color w:val="auto"/>
          <w:sz w:val="22"/>
          <w:szCs w:val="22"/>
          <w:highlight w:val="none"/>
          <w:lang w:eastAsia="zh-Hans"/>
        </w:rPr>
        <w:t>、</w:t>
      </w:r>
      <w:r>
        <w:rPr>
          <w:rFonts w:hint="eastAsia" w:ascii="宋体" w:hAnsi="宋体" w:eastAsia="宋体" w:cs="宋体"/>
          <w:b w:val="0"/>
          <w:bCs/>
          <w:color w:val="auto"/>
          <w:sz w:val="22"/>
          <w:szCs w:val="22"/>
          <w:highlight w:val="none"/>
          <w:lang w:val="en-US" w:eastAsia="zh-Hans"/>
        </w:rPr>
        <w:t>断层</w:t>
      </w:r>
      <w:r>
        <w:rPr>
          <w:rFonts w:hint="default" w:ascii="宋体" w:hAnsi="宋体" w:eastAsia="宋体" w:cs="宋体"/>
          <w:b w:val="0"/>
          <w:bCs/>
          <w:color w:val="auto"/>
          <w:sz w:val="22"/>
          <w:szCs w:val="22"/>
          <w:highlight w:val="none"/>
          <w:lang w:eastAsia="zh-Hans"/>
        </w:rPr>
        <w:t>、</w:t>
      </w:r>
      <w:r>
        <w:rPr>
          <w:rFonts w:hint="eastAsia" w:ascii="宋体" w:hAnsi="宋体" w:eastAsia="宋体" w:cs="宋体"/>
          <w:b w:val="0"/>
          <w:bCs/>
          <w:color w:val="auto"/>
          <w:sz w:val="22"/>
          <w:szCs w:val="22"/>
          <w:highlight w:val="none"/>
          <w:lang w:val="en-US" w:eastAsia="zh-Hans"/>
        </w:rPr>
        <w:t>断链</w:t>
      </w:r>
      <w:r>
        <w:rPr>
          <w:rFonts w:hint="default" w:ascii="宋体" w:hAnsi="宋体" w:eastAsia="宋体" w:cs="宋体"/>
          <w:b w:val="0"/>
          <w:bCs/>
          <w:color w:val="auto"/>
          <w:sz w:val="22"/>
          <w:szCs w:val="22"/>
          <w:highlight w:val="none"/>
          <w:lang w:eastAsia="zh-Hans"/>
        </w:rPr>
        <w:t>、</w:t>
      </w:r>
      <w:r>
        <w:rPr>
          <w:rFonts w:hint="eastAsia" w:ascii="宋体" w:hAnsi="宋体" w:eastAsia="宋体" w:cs="宋体"/>
          <w:b w:val="0"/>
          <w:bCs/>
          <w:color w:val="auto"/>
          <w:sz w:val="22"/>
          <w:szCs w:val="22"/>
          <w:highlight w:val="none"/>
          <w:lang w:val="en-US" w:eastAsia="zh-Hans"/>
        </w:rPr>
        <w:t>孤岛等现状</w:t>
      </w:r>
      <w:r>
        <w:rPr>
          <w:rFonts w:hint="default" w:ascii="宋体" w:hAnsi="宋体" w:eastAsia="宋体" w:cs="宋体"/>
          <w:b w:val="0"/>
          <w:bCs/>
          <w:color w:val="auto"/>
          <w:sz w:val="22"/>
          <w:szCs w:val="22"/>
          <w:highlight w:val="none"/>
          <w:lang w:eastAsia="zh-Hans"/>
        </w:rPr>
        <w:t>，</w:t>
      </w:r>
      <w:r>
        <w:rPr>
          <w:rFonts w:hint="eastAsia" w:ascii="宋体" w:hAnsi="宋体" w:eastAsia="宋体" w:cs="宋体"/>
          <w:b w:val="0"/>
          <w:bCs/>
          <w:color w:val="auto"/>
          <w:sz w:val="22"/>
          <w:szCs w:val="22"/>
          <w:highlight w:val="none"/>
          <w:lang w:val="en-US" w:eastAsia="zh-Hans"/>
        </w:rPr>
        <w:t>导致于数据比对结果后知后觉</w:t>
      </w:r>
      <w:r>
        <w:rPr>
          <w:rFonts w:hint="default" w:ascii="宋体" w:hAnsi="宋体" w:eastAsia="宋体" w:cs="宋体"/>
          <w:b w:val="0"/>
          <w:bCs/>
          <w:color w:val="auto"/>
          <w:sz w:val="22"/>
          <w:szCs w:val="22"/>
          <w:highlight w:val="none"/>
          <w:lang w:eastAsia="zh-Hans"/>
        </w:rPr>
        <w:t>，</w:t>
      </w:r>
      <w:r>
        <w:rPr>
          <w:rFonts w:hint="eastAsia" w:ascii="宋体" w:hAnsi="宋体" w:eastAsia="宋体" w:cs="宋体"/>
          <w:b w:val="0"/>
          <w:bCs/>
          <w:color w:val="auto"/>
          <w:sz w:val="22"/>
          <w:szCs w:val="22"/>
          <w:highlight w:val="none"/>
          <w:lang w:val="en-US" w:eastAsia="zh-Hans"/>
        </w:rPr>
        <w:t>近</w:t>
      </w:r>
      <w:r>
        <w:rPr>
          <w:rFonts w:hint="default" w:ascii="宋体" w:hAnsi="宋体" w:eastAsia="宋体" w:cs="宋体"/>
          <w:b w:val="0"/>
          <w:bCs/>
          <w:color w:val="auto"/>
          <w:sz w:val="22"/>
          <w:szCs w:val="22"/>
          <w:highlight w:val="none"/>
          <w:lang w:eastAsia="zh-Hans"/>
        </w:rPr>
        <w:t>1800</w:t>
      </w:r>
      <w:r>
        <w:rPr>
          <w:rFonts w:hint="eastAsia" w:ascii="宋体" w:hAnsi="宋体" w:eastAsia="宋体" w:cs="宋体"/>
          <w:b w:val="0"/>
          <w:bCs/>
          <w:color w:val="auto"/>
          <w:sz w:val="22"/>
          <w:szCs w:val="22"/>
          <w:highlight w:val="none"/>
          <w:lang w:val="en-US" w:eastAsia="zh-Hans"/>
        </w:rPr>
        <w:t>亿运输体量均流入它省</w:t>
      </w:r>
      <w:r>
        <w:rPr>
          <w:rFonts w:hint="default" w:ascii="宋体" w:hAnsi="宋体" w:eastAsia="宋体" w:cs="宋体"/>
          <w:b w:val="0"/>
          <w:bCs/>
          <w:color w:val="auto"/>
          <w:sz w:val="22"/>
          <w:szCs w:val="22"/>
          <w:highlight w:val="none"/>
          <w:lang w:eastAsia="zh-Hans"/>
        </w:rPr>
        <w:t>。</w:t>
      </w:r>
    </w:p>
    <w:p>
      <w:pPr>
        <w:spacing w:line="360" w:lineRule="auto"/>
        <w:ind w:firstLine="420"/>
        <w:rPr>
          <w:rFonts w:hint="eastAsia" w:ascii="宋体" w:hAnsi="宋体" w:eastAsia="宋体" w:cs="宋体"/>
          <w:b w:val="0"/>
          <w:bCs/>
          <w:sz w:val="22"/>
          <w:szCs w:val="22"/>
        </w:rPr>
      </w:pPr>
      <w:r>
        <w:rPr>
          <w:rFonts w:hint="eastAsia" w:ascii="宋体" w:hAnsi="宋体" w:eastAsia="宋体" w:cs="宋体"/>
          <w:b w:val="0"/>
          <w:bCs/>
          <w:sz w:val="22"/>
          <w:szCs w:val="22"/>
        </w:rPr>
        <w:t>（3）煤炭铁路运输环节信息化现状</w:t>
      </w:r>
    </w:p>
    <w:p>
      <w:pPr>
        <w:spacing w:line="360" w:lineRule="auto"/>
        <w:ind w:firstLine="420"/>
        <w:rPr>
          <w:rFonts w:hint="eastAsia" w:ascii="宋体" w:hAnsi="宋体" w:eastAsia="宋体" w:cs="宋体"/>
          <w:b w:val="0"/>
          <w:bCs/>
          <w:color w:val="auto"/>
          <w:sz w:val="22"/>
          <w:szCs w:val="22"/>
          <w:lang w:eastAsia="zh-CN"/>
        </w:rPr>
      </w:pPr>
      <w:r>
        <w:rPr>
          <w:rFonts w:hint="eastAsia" w:ascii="宋体" w:hAnsi="宋体" w:eastAsia="宋体" w:cs="宋体"/>
          <w:b w:val="0"/>
          <w:bCs/>
          <w:color w:val="auto"/>
          <w:sz w:val="22"/>
          <w:szCs w:val="22"/>
        </w:rPr>
        <w:t>榆林市境内已建成的集装站场系统共有</w:t>
      </w:r>
      <w:r>
        <w:rPr>
          <w:rFonts w:hint="eastAsia" w:ascii="宋体" w:hAnsi="宋体" w:eastAsia="宋体" w:cs="宋体"/>
          <w:b w:val="0"/>
          <w:bCs/>
          <w:color w:val="auto"/>
          <w:sz w:val="22"/>
          <w:szCs w:val="22"/>
          <w:highlight w:val="none"/>
        </w:rPr>
        <w:t>19个</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铁路运营里程达</w:t>
      </w:r>
      <w:r>
        <w:rPr>
          <w:rFonts w:hint="eastAsia" w:ascii="宋体" w:hAnsi="宋体" w:eastAsia="宋体" w:cs="宋体"/>
          <w:i w:val="0"/>
          <w:iCs w:val="0"/>
          <w:caps w:val="0"/>
          <w:color w:val="2B2B2B"/>
          <w:spacing w:val="0"/>
          <w:sz w:val="22"/>
          <w:szCs w:val="22"/>
          <w:shd w:val="clear" w:fill="FFFFFF"/>
        </w:rPr>
        <w:t>1021</w:t>
      </w:r>
      <w:r>
        <w:rPr>
          <w:rFonts w:hint="eastAsia" w:ascii="宋体" w:hAnsi="宋体" w:eastAsia="宋体" w:cs="宋体"/>
          <w:b w:val="0"/>
          <w:bCs/>
          <w:color w:val="auto"/>
          <w:sz w:val="22"/>
          <w:szCs w:val="22"/>
          <w:lang w:val="en-US" w:eastAsia="zh-CN"/>
        </w:rPr>
        <w:t>千</w:t>
      </w:r>
      <w:r>
        <w:rPr>
          <w:rFonts w:hint="eastAsia" w:ascii="宋体" w:hAnsi="宋体" w:eastAsia="宋体" w:cs="宋体"/>
          <w:b w:val="0"/>
          <w:bCs/>
          <w:color w:val="auto"/>
          <w:sz w:val="22"/>
          <w:szCs w:val="22"/>
          <w:highlight w:val="none"/>
          <w:lang w:val="en-US" w:eastAsia="zh-CN"/>
        </w:rPr>
        <w:t>米，年发运量4.97亿吨/年万吨。</w:t>
      </w:r>
      <w:r>
        <w:rPr>
          <w:rFonts w:hint="eastAsia" w:ascii="宋体" w:hAnsi="宋体" w:eastAsia="宋体" w:cs="宋体"/>
          <w:b w:val="0"/>
          <w:bCs/>
          <w:color w:val="auto"/>
          <w:sz w:val="22"/>
          <w:szCs w:val="22"/>
          <w:lang w:val="en-US" w:eastAsia="zh-CN"/>
        </w:rPr>
        <w:t>2018年榆林生产煤炭4.5亿吨，通过铁路运输1.9亿吨，铁路运输仅占比40%；榆林150万吨以上的工矿企业和物流园区的铁路专用线的接入率仅达到18%</w:t>
      </w:r>
      <w:r>
        <w:rPr>
          <w:rFonts w:hint="eastAsia" w:ascii="宋体" w:hAnsi="宋体" w:eastAsia="宋体" w:cs="宋体"/>
          <w:b w:val="0"/>
          <w:bCs/>
          <w:color w:val="auto"/>
          <w:sz w:val="22"/>
          <w:szCs w:val="22"/>
          <w:lang w:eastAsia="zh-CN"/>
        </w:rPr>
        <w:t>。与铁路建设的飞速发展相比，铁路信息化的发展明显滞后，与相对敏感的客运信息化相比，货运</w:t>
      </w:r>
      <w:r>
        <w:rPr>
          <w:rFonts w:hint="eastAsia" w:ascii="宋体" w:hAnsi="宋体" w:eastAsia="宋体" w:cs="宋体"/>
          <w:b w:val="0"/>
          <w:bCs/>
          <w:color w:val="auto"/>
          <w:sz w:val="22"/>
          <w:szCs w:val="22"/>
          <w:highlight w:val="none"/>
          <w:lang w:eastAsia="zh-CN"/>
        </w:rPr>
        <w:t>信息化</w:t>
      </w:r>
      <w:r>
        <w:rPr>
          <w:rFonts w:hint="eastAsia" w:ascii="宋体" w:hAnsi="宋体" w:eastAsia="宋体" w:cs="宋体"/>
          <w:b w:val="0"/>
          <w:bCs/>
          <w:color w:val="auto"/>
          <w:sz w:val="22"/>
          <w:szCs w:val="22"/>
          <w:highlight w:val="none"/>
          <w:lang w:val="en-US" w:eastAsia="zh-Hans"/>
        </w:rPr>
        <w:t>依然</w:t>
      </w:r>
      <w:r>
        <w:rPr>
          <w:rFonts w:hint="eastAsia" w:ascii="宋体" w:hAnsi="宋体" w:eastAsia="宋体" w:cs="宋体"/>
          <w:b w:val="0"/>
          <w:bCs/>
          <w:color w:val="auto"/>
          <w:sz w:val="22"/>
          <w:szCs w:val="22"/>
          <w:highlight w:val="none"/>
          <w:lang w:eastAsia="zh-CN"/>
        </w:rPr>
        <w:t>是一块短板。</w:t>
      </w:r>
      <w:r>
        <w:rPr>
          <w:rFonts w:hint="eastAsia" w:ascii="宋体" w:hAnsi="宋体" w:eastAsia="宋体" w:cs="宋体"/>
          <w:b w:val="0"/>
          <w:bCs/>
          <w:color w:val="auto"/>
          <w:sz w:val="22"/>
          <w:szCs w:val="22"/>
          <w:lang w:eastAsia="zh-CN"/>
        </w:rPr>
        <w:t>相当一部分货检站，仍然依靠手工方式进行信息记录和传递，大部分货运站没有相应的货运信息系统。作为铁路货运系统的重要组成部分之一，其信息化建设贯穿始终，包括铁路通信、运输调度指挥、运输生产组织、运输安全保障、行车安全控制、货车跟踪系统等，相关的通讯网络、终端设备和软件系统等在未来较长时间的市场容量将快速发展。</w:t>
      </w:r>
    </w:p>
    <w:p>
      <w:pPr>
        <w:spacing w:line="360" w:lineRule="auto"/>
        <w:ind w:firstLine="420"/>
        <w:rPr>
          <w:rFonts w:hint="eastAsia" w:ascii="宋体" w:hAnsi="宋体" w:eastAsia="宋体" w:cs="宋体"/>
          <w:b w:val="0"/>
          <w:bCs/>
          <w:sz w:val="22"/>
          <w:szCs w:val="22"/>
        </w:rPr>
      </w:pPr>
      <w:r>
        <w:rPr>
          <w:rFonts w:hint="eastAsia" w:ascii="宋体" w:hAnsi="宋体" w:eastAsia="宋体" w:cs="宋体"/>
          <w:b w:val="0"/>
          <w:bCs/>
          <w:sz w:val="22"/>
          <w:szCs w:val="22"/>
        </w:rPr>
        <w:t>（4）煤炭公铁联运物流网络的现状</w:t>
      </w:r>
    </w:p>
    <w:p>
      <w:pPr>
        <w:spacing w:line="360" w:lineRule="auto"/>
        <w:ind w:firstLine="420"/>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公铁联运的核心在“运”，关键在“联”，公路、铁路两方主体的资源互联互通是发展公铁联运的重要前提。我国公铁联运依旧发展缓慢，物流信息平台的应用起步相对较晚</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榆林乃至陕西地区没有多种运输方式的信息互联互通服务平台</w:t>
      </w:r>
      <w:r>
        <w:rPr>
          <w:rFonts w:hint="eastAsia" w:ascii="宋体" w:hAnsi="宋体" w:eastAsia="宋体" w:cs="宋体"/>
          <w:b w:val="0"/>
          <w:bCs/>
          <w:color w:val="auto"/>
          <w:sz w:val="22"/>
          <w:szCs w:val="22"/>
        </w:rPr>
        <w:t>。突出表现有：一是由于</w:t>
      </w:r>
      <w:r>
        <w:rPr>
          <w:rFonts w:hint="eastAsia" w:ascii="宋体" w:hAnsi="宋体" w:eastAsia="宋体" w:cs="宋体"/>
          <w:b w:val="0"/>
          <w:bCs/>
          <w:color w:val="auto"/>
          <w:sz w:val="22"/>
          <w:szCs w:val="22"/>
          <w:lang w:val="en-US" w:eastAsia="zh-CN"/>
        </w:rPr>
        <w:t>2013年前</w:t>
      </w:r>
      <w:r>
        <w:rPr>
          <w:rFonts w:hint="eastAsia" w:ascii="宋体" w:hAnsi="宋体" w:eastAsia="宋体" w:cs="宋体"/>
          <w:b w:val="0"/>
          <w:bCs/>
          <w:color w:val="auto"/>
          <w:sz w:val="22"/>
          <w:szCs w:val="22"/>
          <w:highlight w:val="none"/>
          <w:u w:val="none"/>
        </w:rPr>
        <w:t>我国公路运输和铁路运输分别为交通运输部和</w:t>
      </w:r>
      <w:r>
        <w:rPr>
          <w:rFonts w:hint="eastAsia" w:ascii="宋体" w:hAnsi="宋体" w:eastAsia="宋体" w:cs="宋体"/>
          <w:b w:val="0"/>
          <w:bCs/>
          <w:color w:val="auto"/>
          <w:sz w:val="22"/>
          <w:szCs w:val="22"/>
          <w:highlight w:val="none"/>
          <w:u w:val="none"/>
          <w:lang w:val="en-US" w:eastAsia="zh-CN"/>
        </w:rPr>
        <w:t>铁道部</w:t>
      </w:r>
      <w:r>
        <w:rPr>
          <w:rFonts w:hint="eastAsia" w:ascii="宋体" w:hAnsi="宋体" w:eastAsia="宋体" w:cs="宋体"/>
          <w:b w:val="0"/>
          <w:bCs/>
          <w:color w:val="auto"/>
          <w:sz w:val="22"/>
          <w:szCs w:val="22"/>
          <w:highlight w:val="none"/>
          <w:u w:val="none"/>
        </w:rPr>
        <w:t>管理</w:t>
      </w:r>
      <w:r>
        <w:rPr>
          <w:rFonts w:hint="eastAsia" w:ascii="宋体" w:hAnsi="宋体" w:eastAsia="宋体" w:cs="宋体"/>
          <w:b w:val="0"/>
          <w:bCs/>
          <w:color w:val="auto"/>
          <w:sz w:val="22"/>
          <w:szCs w:val="22"/>
        </w:rPr>
        <w:t>，在物流发展规划和信息管理上的配合度不高，公路运输和铁路运输实际仍处于分离状态</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rPr>
        <w:t>我国铁路运输现有的运输管理信息系统只初步提供查询服务的功能，大量的单证处理仍然沿用人工填制等落后的办法传递，无法为行业提供标准统一、安全可靠的信息服务。二是公共信息服务质量不高，公铁联运相关参与主体信息获取成本较高</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rPr>
        <w:t>目前政府掌握行业基础信息，但未建立权威、可靠、易用的公共信息获取渠道。</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eastAsia" w:ascii="黑体" w:hAnsi="黑体" w:eastAsia="黑体" w:cs="黑体"/>
          <w:b/>
          <w:bCs/>
          <w:sz w:val="28"/>
          <w:szCs w:val="36"/>
          <w:lang w:val="en-US" w:eastAsia="zh-CN"/>
        </w:rPr>
      </w:pPr>
      <w:r>
        <w:rPr>
          <w:rFonts w:hint="eastAsia" w:ascii="黑体" w:hAnsi="黑体" w:eastAsia="黑体" w:cs="黑体"/>
          <w:b/>
          <w:bCs/>
          <w:sz w:val="28"/>
          <w:szCs w:val="36"/>
          <w:lang w:val="en-US" w:eastAsia="zh-CN"/>
        </w:rPr>
        <w:t>榆林市综合货运物流多式联运发展的问题</w:t>
      </w:r>
    </w:p>
    <w:p>
      <w:pPr>
        <w:spacing w:line="360" w:lineRule="auto"/>
        <w:ind w:firstLine="420"/>
        <w:rPr>
          <w:rFonts w:hint="eastAsia" w:ascii="黑体" w:hAnsi="黑体" w:eastAsia="黑体" w:cs="黑体"/>
          <w:b/>
          <w:bCs w:val="0"/>
          <w:sz w:val="24"/>
          <w:szCs w:val="32"/>
          <w:lang w:eastAsia="zh-CN"/>
        </w:rPr>
      </w:pPr>
      <w:r>
        <w:rPr>
          <w:rFonts w:hint="eastAsia" w:ascii="黑体" w:hAnsi="黑体" w:eastAsia="黑体" w:cs="黑体"/>
          <w:b/>
          <w:bCs w:val="0"/>
          <w:sz w:val="24"/>
          <w:szCs w:val="32"/>
          <w:lang w:val="en-US" w:eastAsia="zh-CN"/>
        </w:rPr>
        <w:t>1.</w:t>
      </w:r>
      <w:r>
        <w:rPr>
          <w:rFonts w:hint="eastAsia" w:ascii="黑体" w:hAnsi="黑体" w:eastAsia="黑体" w:cs="黑体"/>
          <w:b/>
          <w:bCs w:val="0"/>
          <w:sz w:val="24"/>
          <w:szCs w:val="32"/>
          <w:lang w:eastAsia="zh-CN"/>
        </w:rPr>
        <w:t>综合货运物流供应链的数据原始化，碎片化，孤岛化</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以多式联运中占比最大的煤炭运输为例，各煤矿、煤厂、站台甚至下游企业，整个供应链链条数据多采用原始的“手工记账”、“表格统计”模式，各节点链上企业的数据独立记录、存储、使用，多“碎片化”形成一个个独立的信息孤岛。严重导致供应链上下游的信息不对称，行业整体数字化、智能化难以实现。</w:t>
      </w:r>
    </w:p>
    <w:p>
      <w:pPr>
        <w:spacing w:line="360" w:lineRule="auto"/>
        <w:ind w:firstLine="420"/>
        <w:rPr>
          <w:rFonts w:hint="eastAsia" w:ascii="黑体" w:hAnsi="黑体" w:eastAsia="黑体" w:cs="黑体"/>
          <w:b/>
          <w:bCs w:val="0"/>
          <w:sz w:val="24"/>
          <w:szCs w:val="32"/>
          <w:lang w:val="en-US" w:eastAsia="zh-CN"/>
        </w:rPr>
      </w:pPr>
      <w:r>
        <w:rPr>
          <w:rFonts w:hint="eastAsia" w:ascii="黑体" w:hAnsi="黑体" w:eastAsia="黑体" w:cs="黑体"/>
          <w:b/>
          <w:bCs w:val="0"/>
          <w:sz w:val="24"/>
          <w:szCs w:val="32"/>
          <w:lang w:val="en-US" w:eastAsia="zh-CN"/>
        </w:rPr>
        <w:t>2.供应链全流程物联网的智能设备普及率和渗透率较低</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eastAsia="zh-CN"/>
        </w:rPr>
        <w:t>榆林市物流企业通过GPS、5G主动安全设备、北斗等数据对接企业占比不足30%；厂矿、贸易等企业在5G无人值守磅房、B/S和C/S架构管理系统、智能化设备整体占比不足50%，5G信息网络、无人驾驶及智能设备等覆盖率更是偏低。网络不健全、数据不互通、重复使用等问题导致供应链信息断层，致使行业及产业金融赋能等的渗透率低下。亟需有公共信息服务平台的建成，实现高效的数据交互、高效的物流资源调配、高效的服务响应和高效的资金票据流转。</w:t>
      </w:r>
    </w:p>
    <w:p>
      <w:pPr>
        <w:spacing w:line="360" w:lineRule="auto"/>
        <w:ind w:firstLine="420"/>
        <w:rPr>
          <w:rFonts w:hint="eastAsia" w:ascii="黑体" w:hAnsi="黑体" w:eastAsia="黑体" w:cs="黑体"/>
          <w:b/>
          <w:bCs w:val="0"/>
          <w:sz w:val="24"/>
          <w:szCs w:val="32"/>
          <w:lang w:val="en-US" w:eastAsia="zh-CN"/>
        </w:rPr>
      </w:pPr>
      <w:r>
        <w:rPr>
          <w:rFonts w:hint="eastAsia" w:ascii="黑体" w:hAnsi="黑体" w:eastAsia="黑体" w:cs="黑体"/>
          <w:b/>
          <w:bCs w:val="0"/>
          <w:sz w:val="24"/>
          <w:szCs w:val="32"/>
          <w:lang w:val="en-US" w:eastAsia="zh-CN"/>
        </w:rPr>
        <w:t>3.以煤炭为主的多式联运服务产品单一、模式较落后</w:t>
      </w:r>
    </w:p>
    <w:p>
      <w:pPr>
        <w:spacing w:line="360" w:lineRule="auto"/>
        <w:ind w:firstLine="420"/>
        <w:rPr>
          <w:rFonts w:hint="eastAsia" w:ascii="Times New Roman" w:hAnsi="Times New Roman" w:cs="Times New Roman"/>
          <w:b w:val="0"/>
          <w:bCs/>
          <w:color w:val="auto"/>
          <w:sz w:val="22"/>
          <w:szCs w:val="28"/>
          <w:lang w:eastAsia="zh-CN"/>
        </w:rPr>
      </w:pPr>
      <w:r>
        <w:rPr>
          <w:rFonts w:hint="eastAsia" w:ascii="Times New Roman" w:hAnsi="Times New Roman" w:cs="Times New Roman"/>
          <w:b w:val="0"/>
          <w:bCs/>
          <w:color w:val="auto"/>
          <w:sz w:val="22"/>
          <w:szCs w:val="28"/>
          <w:lang w:val="en-US" w:eastAsia="zh-CN"/>
        </w:rPr>
        <w:t>目前榆林综合物流多式联运以煤炭为主，占整体运输比例</w:t>
      </w:r>
      <w:r>
        <w:rPr>
          <w:rFonts w:hint="eastAsia" w:ascii="Times New Roman" w:hAnsi="Times New Roman" w:cs="Times New Roman"/>
          <w:b w:val="0"/>
          <w:bCs/>
          <w:color w:val="auto"/>
          <w:sz w:val="22"/>
          <w:szCs w:val="28"/>
          <w:highlight w:val="none"/>
          <w:lang w:val="en-US" w:eastAsia="zh-CN"/>
        </w:rPr>
        <w:t>的80%</w:t>
      </w:r>
      <w:r>
        <w:rPr>
          <w:rFonts w:hint="eastAsia" w:ascii="Times New Roman" w:hAnsi="Times New Roman" w:cs="Times New Roman"/>
          <w:b w:val="0"/>
          <w:bCs/>
          <w:color w:val="auto"/>
          <w:sz w:val="22"/>
          <w:szCs w:val="28"/>
          <w:lang w:val="en-US" w:eastAsia="zh-CN"/>
        </w:rPr>
        <w:t>，服务产品单一。</w:t>
      </w:r>
      <w:r>
        <w:rPr>
          <w:rFonts w:hint="eastAsia" w:ascii="Times New Roman" w:hAnsi="Times New Roman" w:cs="Times New Roman"/>
          <w:b w:val="0"/>
          <w:bCs/>
          <w:color w:val="auto"/>
          <w:sz w:val="22"/>
          <w:szCs w:val="28"/>
          <w:lang w:eastAsia="zh-CN"/>
        </w:rPr>
        <w:t>运营方式落后，仍然沿用之前的高污染、高损耗、低效率的手段，使煤炭在运输途中造成严重的污染和资源浪费。公转铁、散转集</w:t>
      </w:r>
      <w:r>
        <w:rPr>
          <w:rFonts w:hint="eastAsia" w:ascii="Times New Roman" w:hAnsi="Times New Roman" w:cs="Times New Roman"/>
          <w:b w:val="0"/>
          <w:bCs/>
          <w:color w:val="auto"/>
          <w:sz w:val="22"/>
          <w:szCs w:val="28"/>
          <w:lang w:val="en-US" w:eastAsia="zh-CN"/>
        </w:rPr>
        <w:t>的同时，</w:t>
      </w:r>
      <w:r>
        <w:rPr>
          <w:rFonts w:hint="eastAsia" w:ascii="Times New Roman" w:hAnsi="Times New Roman" w:cs="Times New Roman"/>
          <w:b w:val="0"/>
          <w:bCs/>
          <w:color w:val="auto"/>
          <w:sz w:val="22"/>
          <w:szCs w:val="28"/>
          <w:lang w:eastAsia="zh-CN"/>
        </w:rPr>
        <w:t>不仅要应对供需关系的</w:t>
      </w:r>
      <w:r>
        <w:rPr>
          <w:rFonts w:hint="eastAsia" w:ascii="Times New Roman" w:hAnsi="Times New Roman" w:cs="Times New Roman"/>
          <w:b w:val="0"/>
          <w:bCs/>
          <w:color w:val="auto"/>
          <w:sz w:val="22"/>
          <w:szCs w:val="28"/>
          <w:lang w:val="en-US" w:eastAsia="zh-CN"/>
        </w:rPr>
        <w:t>市场</w:t>
      </w:r>
      <w:r>
        <w:rPr>
          <w:rFonts w:hint="eastAsia" w:ascii="Times New Roman" w:hAnsi="Times New Roman" w:cs="Times New Roman"/>
          <w:b w:val="0"/>
          <w:bCs/>
          <w:color w:val="auto"/>
          <w:sz w:val="22"/>
          <w:szCs w:val="28"/>
          <w:lang w:eastAsia="zh-CN"/>
        </w:rPr>
        <w:t>变化，还要实现清洁、绿色运输。丰富联运服务产品，</w:t>
      </w:r>
      <w:r>
        <w:rPr>
          <w:rFonts w:hint="eastAsia" w:ascii="Times New Roman" w:hAnsi="Times New Roman" w:cs="Times New Roman"/>
          <w:b w:val="0"/>
          <w:bCs/>
          <w:color w:val="auto"/>
          <w:sz w:val="22"/>
          <w:szCs w:val="28"/>
          <w:lang w:val="en-US" w:eastAsia="zh-CN"/>
        </w:rPr>
        <w:t>农副产品、中药材等纳入多式联运服务产品列，以“新能源运力覆盖公路段+铁路段”，</w:t>
      </w:r>
      <w:r>
        <w:rPr>
          <w:rFonts w:hint="eastAsia" w:ascii="Times New Roman" w:hAnsi="Times New Roman" w:cs="Times New Roman"/>
          <w:b w:val="0"/>
          <w:bCs/>
          <w:color w:val="auto"/>
          <w:sz w:val="22"/>
          <w:szCs w:val="28"/>
          <w:lang w:eastAsia="zh-CN"/>
        </w:rPr>
        <w:t>依托综合货运枢纽，</w:t>
      </w:r>
      <w:r>
        <w:rPr>
          <w:rFonts w:hint="eastAsia" w:ascii="Times New Roman" w:hAnsi="Times New Roman" w:cs="Times New Roman"/>
          <w:b w:val="0"/>
          <w:bCs/>
          <w:color w:val="auto"/>
          <w:sz w:val="22"/>
          <w:szCs w:val="28"/>
          <w:lang w:val="en-US" w:eastAsia="zh-CN"/>
        </w:rPr>
        <w:t>为供应链不同需求方提供优质</w:t>
      </w:r>
      <w:r>
        <w:rPr>
          <w:rFonts w:hint="eastAsia" w:ascii="Times New Roman" w:hAnsi="Times New Roman" w:cs="Times New Roman"/>
          <w:b w:val="0"/>
          <w:bCs/>
          <w:color w:val="auto"/>
          <w:sz w:val="22"/>
          <w:szCs w:val="28"/>
          <w:lang w:eastAsia="zh-CN"/>
        </w:rPr>
        <w:t>的全程联运方案。</w:t>
      </w:r>
    </w:p>
    <w:p>
      <w:pPr>
        <w:spacing w:line="360" w:lineRule="auto"/>
        <w:ind w:firstLine="420"/>
        <w:rPr>
          <w:rFonts w:hint="eastAsia" w:ascii="黑体" w:hAnsi="黑体" w:eastAsia="黑体" w:cs="黑体"/>
          <w:b/>
          <w:bCs w:val="0"/>
          <w:color w:val="auto"/>
          <w:sz w:val="22"/>
          <w:szCs w:val="28"/>
          <w:lang w:val="en-US" w:eastAsia="zh-CN"/>
        </w:rPr>
      </w:pPr>
      <w:r>
        <w:rPr>
          <w:rFonts w:hint="eastAsia" w:ascii="黑体" w:hAnsi="黑体" w:eastAsia="黑体" w:cs="黑体"/>
          <w:b/>
          <w:bCs w:val="0"/>
          <w:color w:val="auto"/>
          <w:sz w:val="22"/>
          <w:szCs w:val="28"/>
          <w:lang w:eastAsia="zh-CN"/>
        </w:rPr>
        <w:t>4</w:t>
      </w:r>
      <w:r>
        <w:rPr>
          <w:rFonts w:hint="eastAsia" w:ascii="黑体" w:hAnsi="黑体" w:eastAsia="黑体" w:cs="黑体"/>
          <w:b/>
          <w:bCs w:val="0"/>
          <w:color w:val="auto"/>
          <w:sz w:val="22"/>
          <w:szCs w:val="28"/>
          <w:lang w:val="en-US" w:eastAsia="zh-CN"/>
        </w:rPr>
        <w:t>.</w:t>
      </w:r>
      <w:r>
        <w:rPr>
          <w:rFonts w:hint="eastAsia" w:ascii="黑体" w:hAnsi="黑体" w:eastAsia="黑体" w:cs="黑体"/>
          <w:b/>
          <w:bCs w:val="0"/>
          <w:color w:val="auto"/>
          <w:sz w:val="22"/>
          <w:szCs w:val="28"/>
          <w:lang w:eastAsia="zh-CN"/>
        </w:rPr>
        <w:t>多式联运标准和规则的制度体系尚处于发展起步阶段</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多式联运是现代运输发展的高级形式，涉及到的运输作业环节多、流程复杂、衔接难,目前尚处于发展的起步阶段,存在诸多问题,没有形成适配的服务和规则标准。诸如各类运输方式的信息平台因格式差异化、信息交换障碍等导致的平台间互联互通缺失，造成“一单制”联运服务断层。建立健全多式联运标准和规则。包括多式联运的货物品类划分标准、运载单元标准、产品和服务标准、安检标准及安全管理规则、信息互认规则等制度体系，规范多式联运服务企业的行为,提高运输资源的利用效率,提升综合运输水平。</w:t>
      </w:r>
    </w:p>
    <w:p>
      <w:pPr>
        <w:spacing w:line="360" w:lineRule="auto"/>
        <w:ind w:firstLine="420"/>
        <w:rPr>
          <w:rFonts w:hint="eastAsia" w:ascii="黑体" w:hAnsi="黑体" w:eastAsia="黑体" w:cs="黑体"/>
          <w:b/>
          <w:bCs w:val="0"/>
          <w:color w:val="auto"/>
          <w:sz w:val="22"/>
          <w:szCs w:val="28"/>
          <w:lang w:eastAsia="zh-CN"/>
        </w:rPr>
      </w:pPr>
      <w:r>
        <w:rPr>
          <w:rFonts w:hint="eastAsia" w:ascii="黑体" w:hAnsi="黑体" w:eastAsia="黑体" w:cs="黑体"/>
          <w:b/>
          <w:bCs w:val="0"/>
          <w:color w:val="auto"/>
          <w:sz w:val="22"/>
          <w:szCs w:val="28"/>
          <w:lang w:val="en-US" w:eastAsia="zh-CN"/>
        </w:rPr>
        <w:t>5.</w:t>
      </w:r>
      <w:r>
        <w:rPr>
          <w:rFonts w:hint="eastAsia" w:ascii="黑体" w:hAnsi="黑体" w:eastAsia="黑体" w:cs="黑体"/>
          <w:b/>
          <w:bCs w:val="0"/>
          <w:color w:val="auto"/>
          <w:sz w:val="22"/>
          <w:szCs w:val="28"/>
          <w:lang w:eastAsia="zh-CN"/>
        </w:rPr>
        <w:t>保单等金融服务产品仅能覆盖多式联运过程局部环节</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数据信息断层与</w:t>
      </w:r>
      <w:r>
        <w:rPr>
          <w:rFonts w:hint="eastAsia" w:ascii="Times New Roman" w:hAnsi="Times New Roman" w:cs="Times New Roman"/>
          <w:b w:val="0"/>
          <w:bCs/>
          <w:color w:val="auto"/>
          <w:sz w:val="22"/>
          <w:szCs w:val="28"/>
          <w:lang w:val="en-US" w:eastAsia="zh-Hans"/>
        </w:rPr>
        <w:t>多式联运</w:t>
      </w:r>
      <w:r>
        <w:rPr>
          <w:rFonts w:hint="eastAsia" w:ascii="Times New Roman" w:hAnsi="Times New Roman" w:cs="Times New Roman"/>
          <w:b w:val="0"/>
          <w:bCs/>
          <w:color w:val="auto"/>
          <w:sz w:val="22"/>
          <w:szCs w:val="28"/>
          <w:lang w:val="en-US" w:eastAsia="zh-CN"/>
        </w:rPr>
        <w:t>信息化标准体系的缺失，导致保单等金融服务产品仅覆盖网络货运平台服务链这一局部环节，无法实现</w:t>
      </w:r>
      <w:r>
        <w:rPr>
          <w:rFonts w:hint="eastAsia" w:ascii="Times New Roman" w:hAnsi="Times New Roman" w:cs="Times New Roman"/>
          <w:b w:val="0"/>
          <w:bCs/>
          <w:color w:val="auto"/>
          <w:sz w:val="22"/>
          <w:szCs w:val="28"/>
          <w:lang w:val="en-US" w:eastAsia="zh-Hans"/>
        </w:rPr>
        <w:t>一次委托</w:t>
      </w:r>
      <w:r>
        <w:rPr>
          <w:rFonts w:hint="eastAsia" w:ascii="Times New Roman" w:hAnsi="Times New Roman" w:cs="Times New Roman"/>
          <w:b w:val="0"/>
          <w:bCs/>
          <w:color w:val="auto"/>
          <w:sz w:val="22"/>
          <w:szCs w:val="28"/>
          <w:lang w:eastAsia="zh-Hans"/>
        </w:rPr>
        <w:t>、</w:t>
      </w:r>
      <w:r>
        <w:rPr>
          <w:rFonts w:hint="eastAsia" w:ascii="Times New Roman" w:hAnsi="Times New Roman" w:cs="Times New Roman"/>
          <w:b w:val="0"/>
          <w:bCs/>
          <w:color w:val="auto"/>
          <w:sz w:val="22"/>
          <w:szCs w:val="28"/>
          <w:lang w:val="en-US" w:eastAsia="zh-Hans"/>
        </w:rPr>
        <w:t>一单到底</w:t>
      </w:r>
      <w:r>
        <w:rPr>
          <w:rFonts w:hint="eastAsia" w:ascii="Times New Roman" w:hAnsi="Times New Roman" w:cs="Times New Roman"/>
          <w:b w:val="0"/>
          <w:bCs/>
          <w:color w:val="auto"/>
          <w:sz w:val="22"/>
          <w:szCs w:val="28"/>
          <w:lang w:eastAsia="zh-Hans"/>
        </w:rPr>
        <w:t>、</w:t>
      </w:r>
      <w:r>
        <w:rPr>
          <w:rFonts w:hint="eastAsia" w:ascii="Times New Roman" w:hAnsi="Times New Roman" w:cs="Times New Roman"/>
          <w:b w:val="0"/>
          <w:bCs/>
          <w:color w:val="auto"/>
          <w:sz w:val="22"/>
          <w:szCs w:val="28"/>
          <w:lang w:val="en-US" w:eastAsia="zh-Hans"/>
        </w:rPr>
        <w:t>一票结算金融全程服务</w:t>
      </w:r>
      <w:r>
        <w:rPr>
          <w:rFonts w:hint="eastAsia" w:ascii="Times New Roman" w:hAnsi="Times New Roman" w:cs="Times New Roman"/>
          <w:b w:val="0"/>
          <w:bCs/>
          <w:color w:val="auto"/>
          <w:sz w:val="22"/>
          <w:szCs w:val="28"/>
          <w:lang w:val="en-US" w:eastAsia="zh-CN"/>
        </w:rPr>
        <w:t>。</w:t>
      </w:r>
      <w:r>
        <w:rPr>
          <w:rFonts w:hint="eastAsia" w:ascii="Times New Roman" w:hAnsi="Times New Roman" w:cs="Times New Roman"/>
          <w:b w:val="0"/>
          <w:bCs/>
          <w:color w:val="auto"/>
          <w:sz w:val="22"/>
          <w:szCs w:val="28"/>
          <w:lang w:eastAsia="zh-CN"/>
        </w:rPr>
        <w:t>通过大数据重构物流服务全流程，实现供应链上下游连通，</w:t>
      </w:r>
      <w:r>
        <w:rPr>
          <w:rFonts w:hint="eastAsia" w:ascii="Times New Roman" w:hAnsi="Times New Roman" w:cs="Times New Roman"/>
          <w:b w:val="0"/>
          <w:bCs/>
          <w:color w:val="auto"/>
          <w:sz w:val="22"/>
          <w:szCs w:val="28"/>
          <w:lang w:val="en-US" w:eastAsia="zh-CN"/>
        </w:rPr>
        <w:t>使保单等金融服务产品与联运单全程化匹配，</w:t>
      </w:r>
      <w:r>
        <w:rPr>
          <w:rFonts w:hint="eastAsia" w:ascii="Times New Roman" w:hAnsi="Times New Roman" w:cs="Times New Roman"/>
          <w:b w:val="0"/>
          <w:bCs/>
          <w:color w:val="auto"/>
          <w:sz w:val="22"/>
          <w:szCs w:val="28"/>
          <w:lang w:eastAsia="zh-CN"/>
        </w:rPr>
        <w:t>推动大宗商品供应链向数字化发展，实现产业降本增效和转型升级。</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eastAsia" w:ascii="黑体" w:hAnsi="黑体" w:eastAsia="黑体" w:cs="黑体"/>
          <w:b/>
          <w:bCs/>
          <w:sz w:val="28"/>
          <w:szCs w:val="36"/>
          <w:lang w:val="en-US" w:eastAsia="zh-CN"/>
        </w:rPr>
      </w:pPr>
      <w:r>
        <w:rPr>
          <w:rFonts w:hint="eastAsia" w:ascii="黑体" w:hAnsi="黑体" w:eastAsia="黑体" w:cs="黑体"/>
          <w:b/>
          <w:bCs/>
          <w:sz w:val="28"/>
          <w:szCs w:val="36"/>
          <w:lang w:val="en-US" w:eastAsia="zh-CN"/>
        </w:rPr>
        <w:t>榆林市综合货运物流多式联运的建设目标</w:t>
      </w:r>
    </w:p>
    <w:p>
      <w:pPr>
        <w:spacing w:line="360" w:lineRule="auto"/>
        <w:ind w:firstLine="420"/>
        <w:rPr>
          <w:rFonts w:hint="eastAsia" w:ascii="黑体" w:hAnsi="黑体" w:eastAsia="黑体" w:cs="黑体"/>
          <w:b/>
          <w:bCs w:val="0"/>
          <w:color w:val="auto"/>
          <w:sz w:val="22"/>
          <w:szCs w:val="28"/>
          <w:lang w:val="en-US" w:eastAsia="zh-CN"/>
        </w:rPr>
      </w:pPr>
      <w:r>
        <w:rPr>
          <w:rFonts w:hint="eastAsia" w:ascii="黑体" w:hAnsi="黑体" w:eastAsia="黑体" w:cs="黑体"/>
          <w:b/>
          <w:bCs w:val="0"/>
          <w:color w:val="auto"/>
          <w:sz w:val="22"/>
          <w:szCs w:val="28"/>
          <w:lang w:val="en-US" w:eastAsia="zh-CN"/>
        </w:rPr>
        <w:t>1. 实现多种运输方式信息平台互联互通</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健全和完善合同签订、货物订单、称重数据、物流数据、货物结算、运费结算的实时信息互联互通网络，打通大宗商品交易平台、物流平台、铁路货运平台、无船承运平台等数据接口，将货物与多种运输方式之间实现信息共享互联互通。</w:t>
      </w:r>
    </w:p>
    <w:p>
      <w:pPr>
        <w:spacing w:line="360" w:lineRule="auto"/>
        <w:ind w:firstLine="420"/>
        <w:rPr>
          <w:rFonts w:hint="eastAsia" w:ascii="黑体" w:hAnsi="黑体" w:eastAsia="黑体" w:cs="黑体"/>
          <w:b/>
          <w:bCs w:val="0"/>
          <w:color w:val="auto"/>
          <w:sz w:val="22"/>
          <w:szCs w:val="28"/>
          <w:lang w:val="en-US" w:eastAsia="zh-CN"/>
        </w:rPr>
      </w:pPr>
      <w:r>
        <w:rPr>
          <w:rFonts w:hint="eastAsia" w:ascii="黑体" w:hAnsi="黑体" w:eastAsia="黑体" w:cs="黑体"/>
          <w:b/>
          <w:bCs w:val="0"/>
          <w:color w:val="auto"/>
          <w:sz w:val="22"/>
          <w:szCs w:val="28"/>
          <w:lang w:val="en-US" w:eastAsia="zh-CN"/>
        </w:rPr>
        <w:t>2. 实现综合货运全程联运跟踪定位查询</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通过完善榆林市大宗商品标准化随货同行票据（包括二维码、条形码），形成榆林市货物交接、合同运单、保险理赔、作业流程的标准体系，企业以接口形式对接后开展业务。最终实现企业本身、供应链上中下游和政府、税务、交通等监管部门可实时跟踪查询。</w:t>
      </w:r>
    </w:p>
    <w:p>
      <w:pPr>
        <w:spacing w:line="360" w:lineRule="auto"/>
        <w:ind w:firstLine="420"/>
        <w:rPr>
          <w:rFonts w:hint="eastAsia" w:ascii="黑体" w:hAnsi="黑体" w:eastAsia="黑体" w:cs="黑体"/>
          <w:b/>
          <w:bCs w:val="0"/>
          <w:color w:val="auto"/>
          <w:sz w:val="22"/>
          <w:szCs w:val="28"/>
          <w:lang w:val="en-US" w:eastAsia="zh-CN"/>
        </w:rPr>
      </w:pPr>
      <w:r>
        <w:rPr>
          <w:rFonts w:hint="eastAsia" w:ascii="黑体" w:hAnsi="黑体" w:eastAsia="黑体" w:cs="黑体"/>
          <w:b/>
          <w:bCs w:val="0"/>
          <w:color w:val="auto"/>
          <w:sz w:val="22"/>
          <w:szCs w:val="28"/>
          <w:lang w:val="en-US" w:eastAsia="zh-CN"/>
        </w:rPr>
        <w:t>3. 形成多品类专业化多式联运业务体系</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以建成煤炭多种运输方式互联互通网络为基础，打通多平台数据接口为模式标准，将冷链产品、化工产品、农副产品等同模式复制，建设多品类专业化多式联运业务体系。</w:t>
      </w:r>
    </w:p>
    <w:p>
      <w:pPr>
        <w:spacing w:line="360" w:lineRule="auto"/>
        <w:ind w:firstLine="420"/>
        <w:rPr>
          <w:rFonts w:hint="eastAsia" w:ascii="黑体" w:hAnsi="黑体" w:eastAsia="黑体" w:cs="黑体"/>
          <w:b/>
          <w:bCs w:val="0"/>
          <w:color w:val="auto"/>
          <w:sz w:val="22"/>
          <w:szCs w:val="28"/>
          <w:lang w:val="en-US" w:eastAsia="zh-CN"/>
        </w:rPr>
      </w:pPr>
      <w:r>
        <w:rPr>
          <w:rFonts w:hint="eastAsia" w:ascii="黑体" w:hAnsi="黑体" w:eastAsia="黑体" w:cs="黑体"/>
          <w:b/>
          <w:bCs w:val="0"/>
          <w:color w:val="auto"/>
          <w:sz w:val="22"/>
          <w:szCs w:val="28"/>
          <w:lang w:val="en-US" w:eastAsia="zh-CN"/>
        </w:rPr>
        <w:t>4.形成公铁联运为主多式联运制度体系</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参照国家多式联运服务质量要求、口岸物流服务质量规范、仓储服务质量要求等规则标准，完善和健全榆林市公铁联运各环节的制度体系。通过绥德县产业创新园区网络货运产业数字研发中心逐步构建的全市公共信息数据库的数据共享价值，榆林市物流平台提供的接口服务价值，引导多式联运各环节企业遵守制度体系，共建制度体系。</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eastAsia" w:ascii="黑体" w:hAnsi="黑体" w:eastAsia="黑体" w:cs="黑体"/>
          <w:b/>
          <w:bCs/>
          <w:sz w:val="28"/>
          <w:szCs w:val="36"/>
          <w:highlight w:val="none"/>
          <w:lang w:val="en-US" w:eastAsia="zh-CN"/>
        </w:rPr>
      </w:pPr>
      <w:r>
        <w:rPr>
          <w:rFonts w:hint="eastAsia" w:ascii="黑体" w:hAnsi="黑体" w:eastAsia="黑体" w:cs="黑体"/>
          <w:b/>
          <w:bCs/>
          <w:sz w:val="28"/>
          <w:szCs w:val="36"/>
          <w:highlight w:val="none"/>
          <w:lang w:val="en-US" w:eastAsia="zh-CN"/>
        </w:rPr>
        <w:t>榆林市综合货运物流多式联运的建设策略</w:t>
      </w:r>
    </w:p>
    <w:p>
      <w:pPr>
        <w:spacing w:line="360" w:lineRule="auto"/>
        <w:ind w:firstLine="420"/>
        <w:rPr>
          <w:rFonts w:hint="eastAsia" w:ascii="黑体" w:hAnsi="黑体" w:eastAsia="黑体" w:cs="黑体"/>
          <w:b/>
          <w:bCs w:val="0"/>
          <w:color w:val="auto"/>
          <w:sz w:val="24"/>
          <w:szCs w:val="32"/>
          <w:highlight w:val="none"/>
          <w:lang w:val="en-US" w:eastAsia="zh-CN"/>
        </w:rPr>
      </w:pPr>
      <w:r>
        <w:rPr>
          <w:rFonts w:hint="eastAsia" w:ascii="黑体" w:hAnsi="黑体" w:eastAsia="黑体" w:cs="黑体"/>
          <w:b/>
          <w:bCs w:val="0"/>
          <w:color w:val="auto"/>
          <w:sz w:val="24"/>
          <w:szCs w:val="32"/>
          <w:highlight w:val="none"/>
          <w:lang w:val="en-US" w:eastAsia="zh-CN"/>
        </w:rPr>
        <w:t>1. 榆林市公铁联运物流信息服务平台建设</w:t>
      </w:r>
    </w:p>
    <w:p>
      <w:pPr>
        <w:numPr>
          <w:ilvl w:val="0"/>
          <w:numId w:val="2"/>
        </w:numPr>
        <w:spacing w:line="360" w:lineRule="auto"/>
        <w:ind w:firstLine="420" w:firstLineChars="0"/>
        <w:rPr>
          <w:rFonts w:hint="eastAsia" w:ascii="宋体" w:hAnsi="宋体" w:eastAsia="宋体" w:cs="宋体"/>
          <w:b/>
          <w:bCs w:val="0"/>
          <w:color w:val="auto"/>
          <w:sz w:val="22"/>
          <w:szCs w:val="28"/>
          <w:highlight w:val="none"/>
          <w:lang w:val="en-US" w:eastAsia="zh-CN"/>
        </w:rPr>
      </w:pPr>
      <w:r>
        <w:rPr>
          <w:rFonts w:hint="eastAsia" w:ascii="宋体" w:hAnsi="宋体" w:eastAsia="宋体" w:cs="宋体"/>
          <w:b/>
          <w:bCs w:val="0"/>
          <w:color w:val="auto"/>
          <w:sz w:val="22"/>
          <w:szCs w:val="28"/>
          <w:highlight w:val="none"/>
          <w:lang w:val="en-US" w:eastAsia="zh-CN"/>
        </w:rPr>
        <w:t>建设基础</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绥德县网络货运监管服务系统已有三年运行经验，截止2022年7月，平台上25家试点网络货运企业共计运单1490万余单，车辆37万余辆，司机36万余人，运单金额300亿元。监管平台具备"互联网+大数据"的特征，构建网络货运"以数（据）控税"的增值税征收新模式，绥德网络货运监管服务平台目前主要由数据管理模块、异常分析模块、业务管理模块等模块构成，核心基于网络货运企业上传的数据，通过108个风险点、27个监控项、6个顺时监管维度与国家交通部和第三方数据核验比对为核心功能，做到“检到初，控到底”。</w:t>
      </w:r>
    </w:p>
    <w:p>
      <w:pPr>
        <w:numPr>
          <w:ilvl w:val="0"/>
          <w:numId w:val="2"/>
        </w:numPr>
        <w:spacing w:line="360" w:lineRule="auto"/>
        <w:ind w:left="0" w:leftChars="0" w:firstLine="420" w:firstLineChars="0"/>
        <w:rPr>
          <w:rFonts w:hint="default" w:ascii="Times New Roman" w:hAnsi="Times New Roman" w:cs="Times New Roman"/>
          <w:b/>
          <w:bCs w:val="0"/>
          <w:color w:val="auto"/>
          <w:sz w:val="22"/>
          <w:szCs w:val="28"/>
          <w:lang w:val="en-US" w:eastAsia="zh-CN"/>
        </w:rPr>
      </w:pPr>
      <w:r>
        <w:rPr>
          <w:rFonts w:hint="eastAsia" w:ascii="Times New Roman" w:hAnsi="Times New Roman" w:cs="Times New Roman"/>
          <w:b/>
          <w:bCs w:val="0"/>
          <w:color w:val="auto"/>
          <w:sz w:val="22"/>
          <w:szCs w:val="28"/>
          <w:lang w:val="en-US" w:eastAsia="zh-CN"/>
        </w:rPr>
        <w:t>建设内容</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通过全方位物流信息化服务，将铁运、陆运等相关业务单位的数据进行对接，将物流动态实时可视化，通过全程运输监控，与GIS、GPS系统等技术平台信息融合，为贯通整个物流动态信息提供技术以及数据支持，实现一份合同 、一张单据、一个主体、一种费率、一票到底、高效运转。同时，创新运用5G通信信息技术打通各方数据，构建公铁联运全市物流公共信息数据库，融合四个方面公共信息数据服务，最终实现端到端的实时数据集成，实现在隐私安全下的数据共享。最终，打造升级成一个公铁联运物流信息服务的市级平台。</w:t>
      </w:r>
    </w:p>
    <w:p>
      <w:pPr>
        <w:spacing w:line="360" w:lineRule="auto"/>
        <w:ind w:firstLine="420"/>
        <w:rPr>
          <w:rFonts w:hint="default" w:ascii="Times New Roman" w:hAnsi="Times New Roman" w:cs="Times New Roman"/>
          <w:b/>
          <w:bCs w:val="0"/>
          <w:color w:val="auto"/>
          <w:sz w:val="22"/>
          <w:szCs w:val="28"/>
          <w:lang w:val="en-US" w:eastAsia="zh-CN"/>
        </w:rPr>
      </w:pPr>
      <w:r>
        <w:rPr>
          <w:rFonts w:hint="eastAsia" w:ascii="Times New Roman" w:hAnsi="Times New Roman" w:cs="Times New Roman"/>
          <w:b/>
          <w:bCs w:val="0"/>
          <w:color w:val="auto"/>
          <w:sz w:val="22"/>
          <w:szCs w:val="28"/>
          <w:lang w:val="en-US" w:eastAsia="zh-CN"/>
        </w:rPr>
        <w:t>（3）平台主要功能规划</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榆林市公铁联运物流信息服务平台具体包含以下四大主要功能体系：</w:t>
      </w:r>
    </w:p>
    <w:p>
      <w:pPr>
        <w:tabs>
          <w:tab w:val="center" w:pos="4207"/>
        </w:tabs>
        <w:spacing w:line="360" w:lineRule="auto"/>
        <w:ind w:firstLine="420"/>
        <w:rPr>
          <w:rFonts w:hint="eastAsia" w:ascii="楷体" w:hAnsi="楷体" w:eastAsia="楷体" w:cs="楷体"/>
          <w:b w:val="0"/>
          <w:bCs/>
          <w:color w:val="auto"/>
          <w:sz w:val="24"/>
          <w:szCs w:val="32"/>
          <w:lang w:val="en-US" w:eastAsia="zh-CN"/>
        </w:rPr>
      </w:pPr>
      <w:r>
        <w:rPr>
          <w:rFonts w:hint="eastAsia" w:ascii="楷体" w:hAnsi="楷体" w:eastAsia="楷体" w:cs="楷体"/>
          <w:b w:val="0"/>
          <w:bCs/>
          <w:color w:val="auto"/>
          <w:sz w:val="24"/>
          <w:szCs w:val="32"/>
          <w:lang w:val="en-US" w:eastAsia="zh-CN"/>
        </w:rPr>
        <w:t>①公铁联运公共信息数据服务</w:t>
      </w:r>
    </w:p>
    <w:p>
      <w:pPr>
        <w:tabs>
          <w:tab w:val="center" w:pos="4207"/>
        </w:tabs>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一是物流资讯信息，主要包括行业管理部门发布的物流相关政策法规和标准规范，以及物流行业内的各项行业资讯、行业统计信息与信息化实践和案例等信息；二是物流设施信息，主要是物流基础设施规划与运营单位掌握的信息，包括道路和园区、铁路货站等设施的基础信息和服务信息；三是物流信用信息，主要包括物流业户、车辆、从业人员等服务主体的从业资质及诚信经营情况；具体有交通部门的企业的经营许可证信息、车辆的道路运输许可证信息以及人员的从业资格证信息，公安部门的车辆行驶证信息以及人员身份证信息和驾驶证信息，工商部门的企业登记信息等；四是物流状态信息，包括运输工具的实时位置信息，如车辆、列车实时位置信息，以及物流节点信息，如园区进出等信息。</w:t>
      </w:r>
    </w:p>
    <w:p>
      <w:pPr>
        <w:tabs>
          <w:tab w:val="center" w:pos="4207"/>
        </w:tabs>
        <w:spacing w:line="360" w:lineRule="auto"/>
        <w:ind w:firstLine="420"/>
        <w:rPr>
          <w:rFonts w:hint="default" w:ascii="楷体" w:hAnsi="楷体" w:eastAsia="楷体" w:cs="楷体"/>
          <w:b w:val="0"/>
          <w:bCs/>
          <w:color w:val="auto"/>
          <w:sz w:val="24"/>
          <w:szCs w:val="32"/>
          <w:lang w:val="en-US" w:eastAsia="zh-CN"/>
        </w:rPr>
      </w:pPr>
      <w:r>
        <w:rPr>
          <w:rFonts w:hint="eastAsia" w:ascii="楷体" w:hAnsi="楷体" w:eastAsia="楷体" w:cs="楷体"/>
          <w:b w:val="0"/>
          <w:bCs/>
          <w:color w:val="auto"/>
          <w:sz w:val="24"/>
          <w:szCs w:val="32"/>
          <w:lang w:val="en-US" w:eastAsia="zh-CN"/>
        </w:rPr>
        <w:t>②公铁联运“一单制”</w:t>
      </w:r>
    </w:p>
    <w:p>
      <w:pPr>
        <w:spacing w:line="360" w:lineRule="auto"/>
        <w:ind w:firstLine="420" w:firstLineChars="0"/>
        <w:rPr>
          <w:rFonts w:hint="default" w:ascii="Times New Roman" w:hAnsi="Times New Roman" w:cs="Times New Roman"/>
          <w:b w:val="0"/>
          <w:bCs/>
          <w:color w:val="auto"/>
          <w:sz w:val="22"/>
          <w:szCs w:val="28"/>
          <w:lang w:val="en-US" w:eastAsia="zh-CN"/>
        </w:rPr>
      </w:pPr>
      <w:r>
        <w:rPr>
          <w:rFonts w:hint="default" w:ascii="Times New Roman" w:hAnsi="Times New Roman" w:cs="Times New Roman"/>
          <w:b w:val="0"/>
          <w:bCs/>
          <w:color w:val="auto"/>
          <w:sz w:val="22"/>
          <w:szCs w:val="28"/>
          <w:lang w:val="en-US" w:eastAsia="zh-CN"/>
        </w:rPr>
        <w:t>统一</w:t>
      </w:r>
      <w:r>
        <w:rPr>
          <w:rFonts w:hint="eastAsia" w:ascii="Times New Roman" w:hAnsi="Times New Roman" w:cs="Times New Roman"/>
          <w:b w:val="0"/>
          <w:bCs/>
          <w:color w:val="auto"/>
          <w:sz w:val="22"/>
          <w:szCs w:val="28"/>
          <w:lang w:val="en-US" w:eastAsia="zh-CN"/>
        </w:rPr>
        <w:t>榆林</w:t>
      </w:r>
      <w:r>
        <w:rPr>
          <w:rFonts w:hint="default" w:ascii="Times New Roman" w:hAnsi="Times New Roman" w:cs="Times New Roman"/>
          <w:b w:val="0"/>
          <w:bCs/>
          <w:color w:val="auto"/>
          <w:sz w:val="22"/>
          <w:szCs w:val="28"/>
          <w:lang w:val="en-US" w:eastAsia="zh-CN"/>
        </w:rPr>
        <w:t>多式联运衔接方式，通过标准的数据平台，以平台认证订单为主，将“铁对公”信息流及“公对铁”信息流进行数据整合处理，形成涵盖全程物流所需要的所有物流主体的完整数据链。统一服务口径，参照海运提单的标准化作业流程及中欧班列等陆路国际多式联运业务，引入第三方结算系统，推进构建新的贸易服务结算方式。</w:t>
      </w:r>
    </w:p>
    <w:p>
      <w:pPr>
        <w:spacing w:line="360" w:lineRule="auto"/>
        <w:ind w:firstLine="420" w:firstLineChars="0"/>
        <w:rPr>
          <w:rFonts w:hint="eastAsia" w:ascii="楷体" w:hAnsi="楷体" w:eastAsia="楷体" w:cs="楷体"/>
          <w:b w:val="0"/>
          <w:bCs/>
          <w:color w:val="auto"/>
          <w:sz w:val="24"/>
          <w:szCs w:val="32"/>
          <w:lang w:val="en-US" w:eastAsia="zh-CN"/>
        </w:rPr>
      </w:pPr>
      <w:r>
        <w:rPr>
          <w:rFonts w:hint="eastAsia" w:ascii="楷体" w:hAnsi="楷体" w:eastAsia="楷体" w:cs="楷体"/>
          <w:b w:val="0"/>
          <w:bCs/>
          <w:color w:val="auto"/>
          <w:sz w:val="24"/>
          <w:szCs w:val="32"/>
          <w:lang w:val="en-US" w:eastAsia="zh-CN"/>
        </w:rPr>
        <w:t>③公铁联运智能配载配线</w:t>
      </w:r>
    </w:p>
    <w:p>
      <w:pPr>
        <w:spacing w:line="360" w:lineRule="auto"/>
        <w:ind w:firstLine="420" w:firstLineChars="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通过公路及铁路长期积累的货物种类、集货以及配送线路数据，通过构建模型、设计算法，实现接取送达两端公路运输货物的智能配载和线路优化。</w:t>
      </w:r>
    </w:p>
    <w:p>
      <w:pPr>
        <w:spacing w:line="360" w:lineRule="auto"/>
        <w:ind w:firstLine="420" w:firstLineChars="0"/>
        <w:rPr>
          <w:rFonts w:hint="eastAsia" w:ascii="楷体" w:hAnsi="楷体" w:eastAsia="楷体" w:cs="楷体"/>
          <w:b w:val="0"/>
          <w:bCs/>
          <w:color w:val="auto"/>
          <w:sz w:val="24"/>
          <w:szCs w:val="32"/>
          <w:lang w:val="en-US" w:eastAsia="zh-CN"/>
        </w:rPr>
      </w:pPr>
      <w:r>
        <w:rPr>
          <w:rFonts w:hint="eastAsia" w:ascii="楷体" w:hAnsi="楷体" w:eastAsia="楷体" w:cs="楷体"/>
          <w:b w:val="0"/>
          <w:bCs/>
          <w:color w:val="auto"/>
          <w:sz w:val="24"/>
          <w:szCs w:val="32"/>
          <w:lang w:val="en-US" w:eastAsia="zh-CN"/>
        </w:rPr>
        <w:t>④公铁联运智能仓储运营</w:t>
      </w:r>
    </w:p>
    <w:p>
      <w:pPr>
        <w:spacing w:line="360" w:lineRule="auto"/>
        <w:ind w:firstLine="420" w:firstLineChars="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通过对接供应商的货物管理系统，实现货物在智慧货场的高效运营。合理设计货物出入库批次、分拣频率、库位预警及移动方式等具体业务流程，并配合使用智慧货场的硬件设备，实现仓库安防、消防管理和能耗监控，从而提高仓储运营效率，降低运营成本。</w:t>
      </w:r>
    </w:p>
    <w:p>
      <w:pPr>
        <w:spacing w:line="360" w:lineRule="auto"/>
        <w:ind w:firstLine="420" w:firstLineChars="0"/>
        <w:rPr>
          <w:rFonts w:hint="default" w:ascii="Times New Roman" w:hAnsi="Times New Roman" w:cs="Times New Roman"/>
          <w:b/>
          <w:bCs w:val="0"/>
          <w:color w:val="auto"/>
          <w:sz w:val="22"/>
          <w:szCs w:val="28"/>
          <w:lang w:val="en-US" w:eastAsia="zh-CN"/>
        </w:rPr>
      </w:pPr>
      <w:r>
        <w:rPr>
          <w:rFonts w:hint="eastAsia" w:ascii="Times New Roman" w:hAnsi="Times New Roman" w:cs="Times New Roman"/>
          <w:b/>
          <w:bCs w:val="0"/>
          <w:color w:val="auto"/>
          <w:sz w:val="22"/>
          <w:szCs w:val="28"/>
          <w:lang w:val="en-US" w:eastAsia="zh-CN"/>
        </w:rPr>
        <w:t>（4）平台</w:t>
      </w:r>
      <w:r>
        <w:rPr>
          <w:rFonts w:hint="default" w:ascii="Times New Roman" w:hAnsi="Times New Roman" w:cs="Times New Roman"/>
          <w:b/>
          <w:bCs w:val="0"/>
          <w:color w:val="auto"/>
          <w:sz w:val="22"/>
          <w:szCs w:val="28"/>
          <w:lang w:val="en-US" w:eastAsia="zh-CN"/>
        </w:rPr>
        <w:t>子系统规划</w:t>
      </w:r>
    </w:p>
    <w:p>
      <w:pPr>
        <w:spacing w:line="360" w:lineRule="auto"/>
        <w:ind w:firstLine="420" w:firstLineChars="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①</w:t>
      </w:r>
      <w:r>
        <w:rPr>
          <w:rFonts w:hint="default" w:ascii="Times New Roman" w:hAnsi="Times New Roman" w:cs="Times New Roman"/>
          <w:b w:val="0"/>
          <w:bCs/>
          <w:color w:val="auto"/>
          <w:sz w:val="22"/>
          <w:szCs w:val="28"/>
          <w:lang w:val="en-US" w:eastAsia="zh-CN"/>
        </w:rPr>
        <w:t>订单管理系统</w:t>
      </w:r>
    </w:p>
    <w:p>
      <w:pPr>
        <w:spacing w:line="360" w:lineRule="auto"/>
        <w:ind w:firstLine="420" w:firstLineChars="0"/>
        <w:rPr>
          <w:rFonts w:hint="default" w:ascii="Times New Roman" w:hAnsi="Times New Roman" w:cs="Times New Roman"/>
          <w:b w:val="0"/>
          <w:bCs/>
          <w:color w:val="auto"/>
          <w:sz w:val="22"/>
          <w:szCs w:val="28"/>
          <w:lang w:val="en-US" w:eastAsia="zh-CN"/>
        </w:rPr>
      </w:pPr>
      <w:r>
        <w:rPr>
          <w:rFonts w:hint="default" w:ascii="Times New Roman" w:hAnsi="Times New Roman" w:cs="Times New Roman"/>
          <w:b w:val="0"/>
          <w:bCs/>
          <w:color w:val="auto"/>
          <w:sz w:val="22"/>
          <w:szCs w:val="28"/>
          <w:lang w:val="en-US" w:eastAsia="zh-CN"/>
        </w:rPr>
        <w:t>订单系统侧重后台智能管理系统的开发与设计，实现对物流订单相关信息的收集、整理、分析，并与云运力、云仓储智能管理系统形成信息交互，最终形成可追踪。</w:t>
      </w:r>
    </w:p>
    <w:p>
      <w:pPr>
        <w:spacing w:line="360" w:lineRule="auto"/>
        <w:ind w:firstLine="420" w:firstLineChars="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②</w:t>
      </w:r>
      <w:r>
        <w:rPr>
          <w:rFonts w:hint="default" w:ascii="Times New Roman" w:hAnsi="Times New Roman" w:cs="Times New Roman"/>
          <w:b w:val="0"/>
          <w:bCs/>
          <w:color w:val="auto"/>
          <w:sz w:val="22"/>
          <w:szCs w:val="28"/>
          <w:lang w:val="en-US" w:eastAsia="zh-CN"/>
        </w:rPr>
        <w:t>干线运输管理系统</w:t>
      </w:r>
    </w:p>
    <w:p>
      <w:pPr>
        <w:spacing w:line="360" w:lineRule="auto"/>
        <w:ind w:firstLine="420" w:firstLineChars="0"/>
        <w:rPr>
          <w:rFonts w:hint="default" w:ascii="Times New Roman" w:hAnsi="Times New Roman" w:cs="Times New Roman"/>
          <w:b w:val="0"/>
          <w:bCs/>
          <w:color w:val="auto"/>
          <w:sz w:val="22"/>
          <w:szCs w:val="28"/>
          <w:lang w:val="en-US" w:eastAsia="zh-CN"/>
        </w:rPr>
      </w:pPr>
      <w:r>
        <w:rPr>
          <w:rFonts w:hint="default" w:ascii="Times New Roman" w:hAnsi="Times New Roman" w:cs="Times New Roman"/>
          <w:b w:val="0"/>
          <w:bCs/>
          <w:color w:val="auto"/>
          <w:sz w:val="22"/>
          <w:szCs w:val="28"/>
          <w:lang w:val="en-US" w:eastAsia="zh-CN"/>
        </w:rPr>
        <w:t>所有铁路集装箱信息均需录入该系统，以实现集装箱位置、状态的查询。</w:t>
      </w:r>
    </w:p>
    <w:p>
      <w:pPr>
        <w:spacing w:line="360" w:lineRule="auto"/>
        <w:ind w:firstLine="420" w:firstLineChars="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③</w:t>
      </w:r>
      <w:r>
        <w:rPr>
          <w:rFonts w:hint="default" w:ascii="Times New Roman" w:hAnsi="Times New Roman" w:cs="Times New Roman"/>
          <w:b w:val="0"/>
          <w:bCs/>
          <w:color w:val="auto"/>
          <w:sz w:val="22"/>
          <w:szCs w:val="28"/>
          <w:lang w:val="en-US" w:eastAsia="zh-CN"/>
        </w:rPr>
        <w:t>末端运输管理系统</w:t>
      </w:r>
    </w:p>
    <w:p>
      <w:pPr>
        <w:spacing w:line="360" w:lineRule="auto"/>
        <w:ind w:firstLine="420" w:firstLineChars="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公铁联运信息</w:t>
      </w:r>
      <w:r>
        <w:rPr>
          <w:rFonts w:hint="default" w:ascii="Times New Roman" w:hAnsi="Times New Roman" w:cs="Times New Roman"/>
          <w:b w:val="0"/>
          <w:bCs/>
          <w:color w:val="auto"/>
          <w:sz w:val="22"/>
          <w:szCs w:val="28"/>
          <w:lang w:val="en-US" w:eastAsia="zh-CN"/>
        </w:rPr>
        <w:t>平台系统通过一定时间，对区域内物流相关信息的收集，逐步完成与公有云及政府社会信息的端口对接，完善云物流平台系统运营模式所运用的智能算法与计算逻辑，使云物流平台系统初步具备智能业务流程再造与全程物流、多式联运规划设计能力。</w:t>
      </w:r>
    </w:p>
    <w:p>
      <w:pPr>
        <w:spacing w:line="360" w:lineRule="auto"/>
        <w:rPr>
          <w:rFonts w:hint="default" w:ascii="Times New Roman" w:hAnsi="Times New Roman" w:cs="Times New Roman"/>
          <w:b/>
          <w:bCs/>
          <w:sz w:val="22"/>
          <w:szCs w:val="28"/>
          <w:lang w:val="en-US" w:eastAsia="zh-CN"/>
        </w:rPr>
      </w:pPr>
      <w:r>
        <w:rPr>
          <w:sz w:val="22"/>
          <w:szCs w:val="28"/>
        </w:rPr>
        <w:drawing>
          <wp:inline distT="0" distB="0" distL="114300" distR="114300">
            <wp:extent cx="5267325" cy="5409565"/>
            <wp:effectExtent l="0" t="0" r="317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67325" cy="5409565"/>
                    </a:xfrm>
                    <a:prstGeom prst="rect">
                      <a:avLst/>
                    </a:prstGeom>
                    <a:noFill/>
                    <a:ln>
                      <a:noFill/>
                    </a:ln>
                  </pic:spPr>
                </pic:pic>
              </a:graphicData>
            </a:graphic>
          </wp:inline>
        </w:drawing>
      </w:r>
    </w:p>
    <w:p>
      <w:pPr>
        <w:spacing w:line="360" w:lineRule="auto"/>
        <w:ind w:firstLine="420"/>
        <w:jc w:val="center"/>
        <w:rPr>
          <w:rFonts w:hint="eastAsia" w:ascii="Times New Roman" w:hAnsi="Times New Roman" w:cs="Times New Roman"/>
          <w:b w:val="0"/>
          <w:bCs/>
          <w:color w:val="auto"/>
          <w:sz w:val="22"/>
          <w:szCs w:val="28"/>
          <w:lang w:val="en-US" w:eastAsia="zh-CN"/>
        </w:rPr>
      </w:pPr>
      <w:r>
        <w:rPr>
          <w:rFonts w:hint="default" w:ascii="仿宋_GB2312" w:hAnsi="微软雅黑" w:eastAsia="仿宋_GB2312" w:cs="仿宋_GB2312"/>
          <w:i w:val="0"/>
          <w:iCs w:val="0"/>
          <w:caps w:val="0"/>
          <w:color w:val="2B2B2B"/>
          <w:spacing w:val="0"/>
          <w:kern w:val="0"/>
          <w:sz w:val="24"/>
          <w:szCs w:val="24"/>
          <w:shd w:val="clear" w:fill="FFFFFF"/>
          <w:lang w:val="en-US" w:eastAsia="zh-CN" w:bidi="ar"/>
        </w:rPr>
        <w:t>图</w:t>
      </w:r>
      <w:r>
        <w:rPr>
          <w:rFonts w:hint="eastAsia" w:ascii="仿宋_GB2312" w:hAnsi="微软雅黑" w:eastAsia="仿宋_GB2312" w:cs="仿宋_GB2312"/>
          <w:i w:val="0"/>
          <w:iCs w:val="0"/>
          <w:caps w:val="0"/>
          <w:color w:val="2B2B2B"/>
          <w:spacing w:val="0"/>
          <w:kern w:val="0"/>
          <w:sz w:val="24"/>
          <w:szCs w:val="24"/>
          <w:shd w:val="clear" w:fill="FFFFFF"/>
          <w:lang w:val="en-US" w:eastAsia="zh-CN" w:bidi="ar"/>
        </w:rPr>
        <w:t>2</w:t>
      </w:r>
      <w:r>
        <w:rPr>
          <w:rFonts w:hint="default" w:ascii="仿宋_GB2312" w:hAnsi="微软雅黑" w:eastAsia="仿宋_GB2312" w:cs="仿宋_GB2312"/>
          <w:i w:val="0"/>
          <w:iCs w:val="0"/>
          <w:caps w:val="0"/>
          <w:color w:val="2B2B2B"/>
          <w:spacing w:val="0"/>
          <w:kern w:val="0"/>
          <w:sz w:val="24"/>
          <w:szCs w:val="24"/>
          <w:shd w:val="clear" w:fill="FFFFFF"/>
          <w:lang w:val="en-US" w:eastAsia="zh-CN" w:bidi="ar"/>
        </w:rPr>
        <w:t> </w:t>
      </w:r>
      <w:r>
        <w:rPr>
          <w:rFonts w:hint="eastAsia" w:ascii="仿宋_GB2312" w:hAnsi="微软雅黑" w:eastAsia="仿宋_GB2312" w:cs="仿宋_GB2312"/>
          <w:i w:val="0"/>
          <w:iCs w:val="0"/>
          <w:caps w:val="0"/>
          <w:color w:val="2B2B2B"/>
          <w:spacing w:val="0"/>
          <w:kern w:val="0"/>
          <w:sz w:val="24"/>
          <w:szCs w:val="24"/>
          <w:shd w:val="clear" w:fill="FFFFFF"/>
          <w:lang w:val="en-US" w:eastAsia="zh-CN" w:bidi="ar"/>
        </w:rPr>
        <w:t>榆林市公铁联运物流信息服务平台系统框架示意图</w:t>
      </w:r>
    </w:p>
    <w:p>
      <w:pPr>
        <w:spacing w:line="360" w:lineRule="auto"/>
        <w:ind w:firstLine="420"/>
        <w:rPr>
          <w:rFonts w:hint="eastAsia" w:ascii="宋体" w:hAnsi="宋体" w:eastAsia="宋体" w:cs="宋体"/>
          <w:b w:val="0"/>
          <w:bCs/>
          <w:color w:val="auto"/>
          <w:sz w:val="22"/>
          <w:szCs w:val="28"/>
          <w:lang w:val="en-US" w:eastAsia="zh-CN"/>
        </w:rPr>
      </w:pPr>
      <w:r>
        <w:rPr>
          <w:rFonts w:hint="eastAsia" w:ascii="Times New Roman" w:hAnsi="Times New Roman" w:cs="Times New Roman"/>
          <w:b w:val="0"/>
          <w:bCs/>
          <w:color w:val="auto"/>
          <w:sz w:val="22"/>
          <w:szCs w:val="28"/>
          <w:lang w:val="en-US" w:eastAsia="zh-CN"/>
        </w:rPr>
        <w:t>④</w:t>
      </w:r>
      <w:r>
        <w:rPr>
          <w:rFonts w:hint="eastAsia" w:ascii="宋体" w:hAnsi="宋体" w:eastAsia="宋体" w:cs="宋体"/>
          <w:b w:val="0"/>
          <w:bCs/>
          <w:color w:val="auto"/>
          <w:sz w:val="22"/>
          <w:szCs w:val="28"/>
          <w:lang w:val="en-US" w:eastAsia="zh-CN"/>
        </w:rPr>
        <w:t>跟踪定位查询系统</w:t>
      </w:r>
    </w:p>
    <w:p>
      <w:pPr>
        <w:spacing w:line="360" w:lineRule="auto"/>
        <w:ind w:firstLine="42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公铁联运物流信息服务平台基于交通部轨迹核验数据，榆林市内入网货车实时定位随时查询，做到每个运单司机与车辆证照齐全且轨迹实时掌控。从铁路运输角度来看，每节车厢配备GPS电子铅封，基于5G移动网络，开封密封线上操作，每节车厢位置也可实时掌握。</w:t>
      </w:r>
    </w:p>
    <w:p>
      <w:pPr>
        <w:spacing w:line="360" w:lineRule="auto"/>
        <w:ind w:firstLine="420" w:firstLineChars="0"/>
        <w:rPr>
          <w:rFonts w:hint="default" w:ascii="Times New Roman" w:hAnsi="Times New Roman" w:cs="Times New Roman"/>
          <w:b w:val="0"/>
          <w:bCs/>
          <w:color w:val="auto"/>
          <w:sz w:val="22"/>
          <w:szCs w:val="28"/>
          <w:lang w:val="en-US" w:eastAsia="zh-CN"/>
        </w:rPr>
      </w:pPr>
      <w:r>
        <w:rPr>
          <w:rFonts w:hint="eastAsia" w:ascii="宋体" w:hAnsi="宋体" w:eastAsia="宋体" w:cs="宋体"/>
          <w:b w:val="0"/>
          <w:bCs/>
          <w:color w:val="auto"/>
          <w:sz w:val="22"/>
          <w:szCs w:val="28"/>
          <w:lang w:val="en-US" w:eastAsia="zh-CN"/>
        </w:rPr>
        <w:t>⑤平台系统</w:t>
      </w:r>
      <w:r>
        <w:rPr>
          <w:rFonts w:hint="default" w:ascii="Times New Roman" w:hAnsi="Times New Roman" w:cs="Times New Roman"/>
          <w:b w:val="0"/>
          <w:bCs/>
          <w:color w:val="auto"/>
          <w:sz w:val="22"/>
          <w:szCs w:val="28"/>
          <w:lang w:val="en-US" w:eastAsia="zh-CN"/>
        </w:rPr>
        <w:t>接口管理</w:t>
      </w:r>
    </w:p>
    <w:p>
      <w:pPr>
        <w:spacing w:line="360" w:lineRule="auto"/>
        <w:ind w:firstLine="420"/>
        <w:jc w:val="left"/>
        <w:rPr>
          <w:rFonts w:hint="eastAsia" w:ascii="黑体" w:hAnsi="黑体" w:eastAsia="黑体" w:cs="黑体"/>
          <w:b/>
          <w:bCs w:val="0"/>
          <w:color w:val="auto"/>
          <w:sz w:val="22"/>
          <w:szCs w:val="28"/>
          <w:lang w:val="en-US" w:eastAsia="zh-CN"/>
        </w:rPr>
      </w:pPr>
      <w:r>
        <w:rPr>
          <w:rFonts w:hint="default" w:ascii="Times New Roman" w:hAnsi="Times New Roman" w:cs="Times New Roman"/>
          <w:b w:val="0"/>
          <w:bCs/>
          <w:color w:val="auto"/>
          <w:sz w:val="22"/>
          <w:szCs w:val="28"/>
          <w:lang w:val="en-US" w:eastAsia="zh-CN"/>
        </w:rPr>
        <w:t>以云物流平台智能物流系统为基础构架，逐步开发、设计云物流平台十大模块的功能实现与延展，提升云物流平台、云商、云空间（办公）、云智慧货场、云社区等功能模块的用户体验。</w:t>
      </w:r>
      <w:r>
        <w:rPr>
          <w:rFonts w:hint="eastAsia" w:ascii="Times New Roman" w:hAnsi="Times New Roman" w:cs="Times New Roman"/>
          <w:b w:val="0"/>
          <w:bCs/>
          <w:color w:val="auto"/>
          <w:sz w:val="22"/>
          <w:szCs w:val="28"/>
          <w:lang w:val="en-US" w:eastAsia="zh-CN"/>
        </w:rPr>
        <w:t>针对已有的业务流：合同集→运单集→磅单集→贸易/运费资金集→贸易/运费发票集向相关贸易企业、运输企业、上下游贸易商提供标准的数据元并提供对应的交互接口代码集标准。</w:t>
      </w:r>
    </w:p>
    <w:p>
      <w:pPr>
        <w:spacing w:line="360" w:lineRule="auto"/>
        <w:ind w:firstLine="420"/>
        <w:rPr>
          <w:rFonts w:hint="eastAsia"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2. 打造支撑多品类专业化多式联运综合物流业务试点</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利用能源化工、有色冶金、新材料、无机非金属材料，装备制造，特色农产品、农产品加工等现有优势产业资源，同时结合支撑陕北区域经济发展的生产物资（汽车、建材、机械设备、医药、快消品、服装等），围绕“一带一路”机遇和“陕甘宁蒙晋”区域发展重点，锁定以能源化工、机械制造、有色金属等为主的大宗商品物流和以食品加工、特色农产品、生物医药、纺织服装为主的轻工业物流，打造地域特色专业化多式联运综合物流试点。</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以煤炭运输为基础，定边马铃薯为例，定边马铃薯是中国国家地理标志产品，也是定边县农业产业中种植面积最大，分布范围最广，种植历史久远的农作物。优质薯年推广面积达60万亩。定边种薯退化慢、病虫害少、产量高、质量好，旱地一般亩产1500千克左右，水地亩产可达3000千克左右。是宁夏、甘肃、陕西、湖南等地重要的种薯供应基地。马铃薯运输大致与煤炭运输相同，皆为普货运输。不同的是，马铃薯基于采购方的不同，并不会对交通工具有特殊限制，集装箱即可完成整个业务流程，也是能够达到公铁联运的目标。</w:t>
      </w:r>
    </w:p>
    <w:p>
      <w:pPr>
        <w:spacing w:line="360" w:lineRule="auto"/>
        <w:ind w:firstLine="42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以此推类，托盘、冷链物流等标准化建设，依托物流企业、制造企业、商贸流通企业以及专业托盘服务商，构建标准托盘社会公共运营服务体系。</w:t>
      </w:r>
    </w:p>
    <w:p>
      <w:pPr>
        <w:spacing w:line="360" w:lineRule="auto"/>
        <w:ind w:firstLine="420"/>
        <w:rPr>
          <w:rFonts w:hint="default" w:ascii="Times New Roman" w:hAnsi="Times New Roman" w:cs="Times New Roman"/>
          <w:b w:val="0"/>
          <w:bCs/>
          <w:color w:val="auto"/>
          <w:sz w:val="24"/>
          <w:szCs w:val="32"/>
          <w:lang w:val="en-US" w:eastAsia="zh-CN"/>
        </w:rPr>
      </w:pPr>
      <w:r>
        <w:rPr>
          <w:rFonts w:hint="eastAsia" w:ascii="黑体" w:hAnsi="黑体" w:eastAsia="黑体" w:cs="黑体"/>
          <w:b/>
          <w:bCs w:val="0"/>
          <w:color w:val="auto"/>
          <w:sz w:val="24"/>
          <w:szCs w:val="32"/>
          <w:lang w:val="en-US" w:eastAsia="zh-CN"/>
        </w:rPr>
        <w:t>3.构建以公铁联运为主多式联运服务立体化制度体系</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本标准体系从服务方案、服务网络、服务质量控制机制、服务异常反馈、服务监督管理、服务保障机制、服务持续优化机制七个方面进行要求，旨在逐步建立可持续推进的运输服务规范体系。</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（1）服务保障</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本标准从服务人员、服务设施设备、服务信息化、服务合同四个方面进行要求，旨在逐步建立人力与物力、商流与信息流相协调发展的保障体系。</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在服务人员保障方面，一是规定了岗位职责与人员分工管理制度的要求，二是规定了岗位及技术人员的持证上岗要求，三是规定了服务人员安全及继续教育培训，提升综合服务水平，在服务过程中提高效率，不断优化服务的要求。</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在服务设施设备保障方面，一是对运输站场进行规范，明确站场的功能分区及配套设施设备的要求，二是对运输车辆进行规范，三是对铁路运输车进行规范。旨在全面保障运输公铁联运及其作业的实现。</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在服务信息化保障方面，一是通过先进技术的综合应用，逐步对对联运货物进行全过程平台化、可视化、实时跟踪管理的要求，二是提供信息化功能的辅助设备要求，三是对服务过程进行监督管理，及时反馈异常情况的要求。</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在服务合同保障方面，主要对联运合同的签订过程及其主要涉及的责任、权利与义务关系、豁免条款等内容进行规范。</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（2） 服务流程</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本标准主要从订单受理、计划与调度、联运检查、车辆换装与运输、订单验收及完成五个方面进行规定。订单受理环节主要对订单受理前的服务能力与货主需求确认、合作建立的要点进行规定。计划与调度环节主要对服务内容的执行要求进行规定。联运检查环节主要对服务方组织货物联运检查的要求进行规定。换装联运环节主要对服务方组织货物联运的要求进行规定。顶单验收环节主要对服务方完成终端物流配送的要求进行规定。1.2.7 作业安全：本标准主要对运输装卸载作业进行安全规范。分为铁路运输车作业、运输车辆作业两个内容。</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（3）服务安全</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本标准主要从健全制度、防范措施、应急预案三个方面进行规定。健全制度方面，一是对建立健全服务安全管理制度，明确服务安全分工及其安全责任进行规定，二是对建立运输服务设备安全应急及故障处理制度，明确安全应急及故障处理流程进行规定。防范措施方面，一是对建立健全运输安全防范演练、培训及考核机制，加强安全防范管理进行规定，二是对安全与消防设施及其检查维护进行规定。</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应急预案方面，主要对组织服务过程中可能发生的各类突发事件的紧急处理进行规定。</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（4） 服务评价与改进</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本标准主要对服务评价方式、主要评价指标、服务持续改进三个方面进行规定。服务评价方式方面，一是对运输服务质量调查、评估、考核及管理制度进行规定，二是对运输服务的评价指标及机制进行规定，其中包括主要评价指标、评价方式、评价渠道。</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主要评价指标方面，根据运输的服务特征，确定了提货及时率、配送及时率、有效投诉率、服务满意度四个主要评价指标及其计算方式。服务持续改进方面，主要对运输服务持续改进机制的建立和服务评价的响应处理进行规定。</w:t>
      </w:r>
    </w:p>
    <w:p>
      <w:pPr>
        <w:spacing w:line="360" w:lineRule="auto"/>
        <w:ind w:firstLine="420"/>
        <w:rPr>
          <w:rFonts w:hint="eastAsia" w:ascii="Times New Roman" w:hAnsi="Times New Roman" w:cs="Times New Roman"/>
          <w:b w:val="0"/>
          <w:bCs/>
          <w:color w:val="auto"/>
          <w:sz w:val="22"/>
          <w:szCs w:val="28"/>
          <w:lang w:val="en-US" w:eastAsia="zh-CN"/>
        </w:rPr>
      </w:pPr>
    </w:p>
    <w:p>
      <w:pPr>
        <w:spacing w:line="360" w:lineRule="auto"/>
        <w:ind w:firstLine="420"/>
        <w:rPr>
          <w:rFonts w:hint="eastAsia" w:ascii="Times New Roman" w:hAnsi="Times New Roman" w:cs="Times New Roman"/>
          <w:b w:val="0"/>
          <w:bCs/>
          <w:color w:val="auto"/>
          <w:sz w:val="22"/>
          <w:szCs w:val="28"/>
          <w:lang w:val="en-US" w:eastAsia="zh-CN"/>
        </w:rPr>
      </w:pPr>
    </w:p>
    <w:p>
      <w:pPr>
        <w:numPr>
          <w:ilvl w:val="0"/>
          <w:numId w:val="3"/>
        </w:numPr>
        <w:spacing w:line="360" w:lineRule="auto"/>
        <w:ind w:firstLine="420"/>
        <w:rPr>
          <w:rFonts w:hint="eastAsia" w:ascii="黑体" w:hAnsi="黑体" w:eastAsia="黑体" w:cs="黑体"/>
          <w:b/>
          <w:bCs w:val="0"/>
          <w:color w:val="auto"/>
          <w:sz w:val="24"/>
          <w:szCs w:val="32"/>
          <w:highlight w:val="none"/>
          <w:lang w:val="en-US" w:eastAsia="zh-CN"/>
        </w:rPr>
      </w:pPr>
      <w:r>
        <w:rPr>
          <w:rFonts w:hint="eastAsia" w:ascii="黑体" w:hAnsi="黑体" w:eastAsia="黑体" w:cs="黑体"/>
          <w:b/>
          <w:bCs w:val="0"/>
          <w:color w:val="auto"/>
          <w:sz w:val="24"/>
          <w:szCs w:val="32"/>
          <w:highlight w:val="none"/>
          <w:lang w:val="en-US" w:eastAsia="zh-CN"/>
        </w:rPr>
        <w:t>推动金融机构开展服务多式联运物流全程产品创新</w:t>
      </w:r>
    </w:p>
    <w:p>
      <w:pPr>
        <w:spacing w:line="360" w:lineRule="auto"/>
        <w:jc w:val="center"/>
        <w:rPr>
          <w:rFonts w:hint="eastAsia" w:ascii="黑体" w:hAnsi="黑体" w:eastAsia="黑体" w:cs="黑体"/>
          <w:b/>
          <w:bCs w:val="0"/>
          <w:color w:val="auto"/>
          <w:sz w:val="24"/>
          <w:szCs w:val="32"/>
          <w:highlight w:val="none"/>
          <w:lang w:val="en-US" w:eastAsia="zh-CN"/>
        </w:rPr>
      </w:pPr>
      <w:r>
        <w:rPr>
          <w:rFonts w:hint="default" w:ascii="仿宋_GB2312" w:hAnsi="微软雅黑" w:eastAsia="仿宋_GB2312" w:cs="仿宋_GB2312"/>
          <w:i w:val="0"/>
          <w:iCs w:val="0"/>
          <w:caps w:val="0"/>
          <w:color w:val="2B2B2B"/>
          <w:spacing w:val="0"/>
          <w:kern w:val="0"/>
          <w:sz w:val="24"/>
          <w:szCs w:val="24"/>
          <w:shd w:val="clear" w:fill="FFFFFF"/>
          <w:lang w:val="en-US" w:eastAsia="zh-CN" w:bidi="ar"/>
        </w:rPr>
        <w:drawing>
          <wp:inline distT="0" distB="0" distL="114300" distR="114300">
            <wp:extent cx="5293360" cy="3180080"/>
            <wp:effectExtent l="9525" t="9525" r="18415" b="10795"/>
            <wp:docPr id="4" name="图片 4" descr="856856318951997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56856318951997847"/>
                    <pic:cNvPicPr>
                      <a:picLocks noChangeAspect="1"/>
                    </pic:cNvPicPr>
                  </pic:nvPicPr>
                  <pic:blipFill>
                    <a:blip r:embed="rId7"/>
                    <a:srcRect/>
                    <a:stretch>
                      <a:fillRect/>
                    </a:stretch>
                  </pic:blipFill>
                  <pic:spPr>
                    <a:xfrm>
                      <a:off x="0" y="0"/>
                      <a:ext cx="5293360" cy="3180080"/>
                    </a:xfrm>
                    <a:prstGeom prst="rect">
                      <a:avLst/>
                    </a:prstGeom>
                    <a:ln w="3175">
                      <a:solidFill>
                        <a:srgbClr val="FFC000"/>
                      </a:solidFill>
                    </a:ln>
                  </pic:spPr>
                </pic:pic>
              </a:graphicData>
            </a:graphic>
          </wp:inline>
        </w:drawing>
      </w:r>
      <w:r>
        <w:rPr>
          <w:rFonts w:hint="default" w:ascii="仿宋_GB2312" w:hAnsi="微软雅黑" w:eastAsia="仿宋_GB2312" w:cs="仿宋_GB2312"/>
          <w:i w:val="0"/>
          <w:iCs w:val="0"/>
          <w:caps w:val="0"/>
          <w:color w:val="2B2B2B"/>
          <w:spacing w:val="0"/>
          <w:kern w:val="0"/>
          <w:sz w:val="24"/>
          <w:szCs w:val="24"/>
          <w:shd w:val="clear" w:fill="FFFFFF"/>
          <w:lang w:val="en-US" w:eastAsia="zh-CN" w:bidi="ar"/>
        </w:rPr>
        <w:t>图</w:t>
      </w:r>
      <w:r>
        <w:rPr>
          <w:rFonts w:hint="eastAsia" w:ascii="仿宋_GB2312" w:hAnsi="微软雅黑" w:eastAsia="仿宋_GB2312" w:cs="仿宋_GB2312"/>
          <w:i w:val="0"/>
          <w:iCs w:val="0"/>
          <w:caps w:val="0"/>
          <w:color w:val="2B2B2B"/>
          <w:spacing w:val="0"/>
          <w:kern w:val="0"/>
          <w:sz w:val="24"/>
          <w:szCs w:val="24"/>
          <w:shd w:val="clear" w:fill="FFFFFF"/>
          <w:lang w:val="en-US" w:eastAsia="zh-CN" w:bidi="ar"/>
        </w:rPr>
        <w:t>3 多式联运金融保理创新数据模型示意图</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基于绥德县网络货运监管服务平台金融保理创新数据中心构建经验，整合商业银行、保险公司、信托公司等金融资源，依托公铁联运物流管理平台未来积累的多场景、种类丰富的公铁联运物流数据，对接相关金融企业各类产品需求，开展货单质押、贸易融资、应收账款融资、运费融资、租赁融资等服务，在不同业务场景下为物流行业提供线上的金融产品及供应链金融解决方案，实现高效绿色的供应链整体服务。</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如以信用榆林项目以监管平台运单数据为核心，仓储数据为辅，赋能给信用中国平台中的企业信用体系。链接榆林市税务大数据平台，以货主数据为核心，确保上游煤矿出货量与税收数据相一致，杜绝偷税漏税行为。结合商品标准化随货同行票据，形成榆林市货物交接、合同运单、保险理赔、作业流程的标准体系。</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在强化全链条全流程风险防控基础上，一是加大科技运用、数据运用水平，推进供应链金融由核心企业主体信用向数据信用转变；二是发展差异化供应链金融服务，根据产业链供应链不同领域、不同环节的需求和特点，探索与之相适应的产业链供应链金融服务方式；三是建立完善供应链金融异地服务协调机制，推进跨地区跨银行协作，同时对相关业务风险权重考核、线上化服务等方面进一步优化监管政策。</w:t>
      </w:r>
    </w:p>
    <w:p>
      <w:pPr>
        <w:spacing w:line="360" w:lineRule="auto"/>
        <w:ind w:firstLine="420"/>
        <w:rPr>
          <w:rFonts w:hint="eastAsia" w:ascii="Times New Roman" w:hAnsi="Times New Roman" w:cs="Times New Roman"/>
          <w:b w:val="0"/>
          <w:bCs/>
          <w:color w:val="auto"/>
          <w:sz w:val="22"/>
          <w:szCs w:val="28"/>
          <w:lang w:val="en-US" w:eastAsia="zh-CN"/>
        </w:rPr>
      </w:pPr>
    </w:p>
    <w:p>
      <w:pPr>
        <w:spacing w:line="360" w:lineRule="auto"/>
        <w:ind w:firstLine="420"/>
        <w:rPr>
          <w:rFonts w:hint="eastAsia" w:ascii="Times New Roman" w:hAnsi="Times New Roman" w:cs="Times New Roman"/>
          <w:b w:val="0"/>
          <w:bCs/>
          <w:color w:val="auto"/>
          <w:sz w:val="22"/>
          <w:szCs w:val="2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default" w:ascii="黑体" w:hAnsi="黑体" w:eastAsia="黑体" w:cs="黑体"/>
          <w:b/>
          <w:bCs/>
          <w:sz w:val="28"/>
          <w:szCs w:val="36"/>
          <w:lang w:val="en-US" w:eastAsia="zh-CN"/>
        </w:rPr>
      </w:pPr>
      <w:r>
        <w:rPr>
          <w:rFonts w:hint="default" w:ascii="黑体" w:hAnsi="黑体" w:eastAsia="黑体" w:cs="黑体"/>
          <w:b/>
          <w:bCs/>
          <w:sz w:val="28"/>
          <w:szCs w:val="36"/>
          <w:lang w:val="en-US" w:eastAsia="zh-CN"/>
        </w:rPr>
        <w:t>项目投资预算</w:t>
      </w:r>
    </w:p>
    <w:p>
      <w:pPr>
        <w:spacing w:line="360" w:lineRule="auto"/>
        <w:ind w:firstLine="420"/>
        <w:rPr>
          <w:rFonts w:hint="eastAsia" w:ascii="黑体" w:hAnsi="黑体" w:eastAsia="黑体" w:cs="黑体"/>
          <w:b/>
          <w:bCs w:val="0"/>
          <w:color w:val="auto"/>
          <w:sz w:val="24"/>
          <w:szCs w:val="32"/>
          <w:lang w:val="en-US" w:eastAsia="zh-Hans"/>
        </w:rPr>
      </w:pPr>
      <w:r>
        <w:rPr>
          <w:rFonts w:hint="eastAsia" w:ascii="黑体" w:hAnsi="黑体" w:eastAsia="黑体" w:cs="黑体"/>
          <w:b/>
          <w:bCs w:val="0"/>
          <w:color w:val="auto"/>
          <w:sz w:val="24"/>
          <w:szCs w:val="32"/>
          <w:lang w:val="en-US" w:eastAsia="zh-CN"/>
        </w:rPr>
        <w:t>1.</w:t>
      </w:r>
      <w:r>
        <w:rPr>
          <w:rFonts w:hint="eastAsia" w:ascii="黑体" w:hAnsi="黑体" w:eastAsia="黑体" w:cs="黑体"/>
          <w:b/>
          <w:bCs w:val="0"/>
          <w:color w:val="auto"/>
          <w:sz w:val="24"/>
          <w:szCs w:val="32"/>
          <w:lang w:val="en-US" w:eastAsia="zh-Hans"/>
        </w:rPr>
        <w:t>项目预算</w:t>
      </w:r>
    </w:p>
    <w:tbl>
      <w:tblPr>
        <w:tblStyle w:val="8"/>
        <w:tblW w:w="0" w:type="auto"/>
        <w:tblInd w:w="4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08"/>
        <w:gridCol w:w="2201"/>
        <w:gridCol w:w="2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508"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项目名称</w:t>
            </w:r>
          </w:p>
        </w:tc>
        <w:tc>
          <w:tcPr>
            <w:tcW w:w="2201"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数量</w:t>
            </w:r>
          </w:p>
        </w:tc>
        <w:tc>
          <w:tcPr>
            <w:tcW w:w="215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508"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智能定位设备</w:t>
            </w:r>
          </w:p>
        </w:tc>
        <w:tc>
          <w:tcPr>
            <w:tcW w:w="2201"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10</w:t>
            </w:r>
            <w:r>
              <w:rPr>
                <w:rFonts w:hint="eastAsia" w:ascii="宋体" w:hAnsi="宋体" w:eastAsia="宋体" w:cs="宋体"/>
                <w:b w:val="0"/>
                <w:bCs w:val="0"/>
                <w:color w:val="auto"/>
                <w:sz w:val="22"/>
                <w:szCs w:val="22"/>
                <w:vertAlign w:val="baseline"/>
                <w:lang w:val="en-US" w:eastAsia="zh-Hans"/>
              </w:rPr>
              <w:t>万台</w:t>
            </w:r>
          </w:p>
        </w:tc>
        <w:tc>
          <w:tcPr>
            <w:tcW w:w="215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1000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508"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北斗定位服务</w:t>
            </w:r>
          </w:p>
        </w:tc>
        <w:tc>
          <w:tcPr>
            <w:tcW w:w="2201"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1000</w:t>
            </w:r>
            <w:r>
              <w:rPr>
                <w:rFonts w:hint="eastAsia" w:ascii="宋体" w:hAnsi="宋体" w:eastAsia="宋体" w:cs="宋体"/>
                <w:b w:val="0"/>
                <w:bCs w:val="0"/>
                <w:color w:val="auto"/>
                <w:sz w:val="22"/>
                <w:szCs w:val="22"/>
                <w:vertAlign w:val="baseline"/>
                <w:lang w:val="en-US" w:eastAsia="zh-Hans"/>
              </w:rPr>
              <w:t>万次</w:t>
            </w:r>
          </w:p>
        </w:tc>
        <w:tc>
          <w:tcPr>
            <w:tcW w:w="215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350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508"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服务器</w:t>
            </w:r>
            <w:r>
              <w:rPr>
                <w:rFonts w:hint="eastAsia" w:ascii="宋体" w:hAnsi="宋体" w:eastAsia="宋体" w:cs="宋体"/>
                <w:b w:val="0"/>
                <w:bCs w:val="0"/>
                <w:color w:val="auto"/>
                <w:sz w:val="22"/>
                <w:szCs w:val="22"/>
                <w:vertAlign w:val="baseline"/>
                <w:lang w:eastAsia="zh-Hans"/>
              </w:rPr>
              <w:t>、</w:t>
            </w:r>
            <w:r>
              <w:rPr>
                <w:rFonts w:hint="eastAsia" w:ascii="宋体" w:hAnsi="宋体" w:eastAsia="宋体" w:cs="宋体"/>
                <w:b w:val="0"/>
                <w:bCs w:val="0"/>
                <w:color w:val="auto"/>
                <w:sz w:val="22"/>
                <w:szCs w:val="22"/>
                <w:vertAlign w:val="baseline"/>
                <w:lang w:val="en-US" w:eastAsia="zh-Hans"/>
              </w:rPr>
              <w:t>数据库</w:t>
            </w:r>
            <w:r>
              <w:rPr>
                <w:rFonts w:hint="eastAsia" w:ascii="宋体" w:hAnsi="宋体" w:eastAsia="宋体" w:cs="宋体"/>
                <w:b w:val="0"/>
                <w:bCs w:val="0"/>
                <w:color w:val="auto"/>
                <w:sz w:val="22"/>
                <w:szCs w:val="22"/>
                <w:vertAlign w:val="baseline"/>
                <w:lang w:eastAsia="zh-Hans"/>
              </w:rPr>
              <w:t>，</w:t>
            </w:r>
            <w:r>
              <w:rPr>
                <w:rFonts w:hint="eastAsia" w:ascii="宋体" w:hAnsi="宋体" w:eastAsia="宋体" w:cs="宋体"/>
                <w:b w:val="0"/>
                <w:bCs w:val="0"/>
                <w:color w:val="auto"/>
                <w:sz w:val="22"/>
                <w:szCs w:val="22"/>
                <w:vertAlign w:val="baseline"/>
                <w:lang w:val="en-US" w:eastAsia="zh-Hans"/>
              </w:rPr>
              <w:t>分布式数据库</w:t>
            </w:r>
          </w:p>
        </w:tc>
        <w:tc>
          <w:tcPr>
            <w:tcW w:w="2201"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w:t>
            </w:r>
            <w:r>
              <w:rPr>
                <w:rFonts w:hint="eastAsia" w:ascii="宋体" w:hAnsi="宋体" w:eastAsia="宋体" w:cs="宋体"/>
                <w:b w:val="0"/>
                <w:bCs w:val="0"/>
                <w:color w:val="auto"/>
                <w:sz w:val="22"/>
                <w:szCs w:val="22"/>
                <w:vertAlign w:val="baseline"/>
                <w:lang w:val="en-US" w:eastAsia="zh-Hans"/>
              </w:rPr>
              <w:t>年</w:t>
            </w:r>
          </w:p>
        </w:tc>
        <w:tc>
          <w:tcPr>
            <w:tcW w:w="215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600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508"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百旺自动开票软硬件</w:t>
            </w:r>
          </w:p>
        </w:tc>
        <w:tc>
          <w:tcPr>
            <w:tcW w:w="2201"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集团版</w:t>
            </w:r>
            <w:r>
              <w:rPr>
                <w:rFonts w:hint="eastAsia" w:ascii="宋体" w:hAnsi="宋体" w:eastAsia="宋体" w:cs="宋体"/>
                <w:b w:val="0"/>
                <w:bCs w:val="0"/>
                <w:color w:val="auto"/>
                <w:sz w:val="22"/>
                <w:szCs w:val="22"/>
                <w:vertAlign w:val="baseline"/>
                <w:lang w:eastAsia="zh-Hans"/>
              </w:rPr>
              <w:t>1</w:t>
            </w:r>
            <w:r>
              <w:rPr>
                <w:rFonts w:hint="eastAsia" w:ascii="宋体" w:hAnsi="宋体" w:eastAsia="宋体" w:cs="宋体"/>
                <w:b w:val="0"/>
                <w:bCs w:val="0"/>
                <w:color w:val="auto"/>
                <w:sz w:val="22"/>
                <w:szCs w:val="22"/>
                <w:vertAlign w:val="baseline"/>
                <w:lang w:val="en-US" w:eastAsia="zh-Hans"/>
              </w:rPr>
              <w:t>套</w:t>
            </w:r>
          </w:p>
        </w:tc>
        <w:tc>
          <w:tcPr>
            <w:tcW w:w="215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70</w:t>
            </w:r>
            <w:r>
              <w:rPr>
                <w:rFonts w:hint="eastAsia" w:ascii="宋体" w:hAnsi="宋体" w:eastAsia="宋体" w:cs="宋体"/>
                <w:b w:val="0"/>
                <w:bCs w:val="0"/>
                <w:color w:val="auto"/>
                <w:sz w:val="22"/>
                <w:szCs w:val="22"/>
                <w:vertAlign w:val="baseline"/>
                <w:lang w:val="en-US" w:eastAsia="zh-Hans"/>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508"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5G</w:t>
            </w:r>
            <w:r>
              <w:rPr>
                <w:rFonts w:hint="eastAsia" w:ascii="宋体" w:hAnsi="宋体" w:eastAsia="宋体" w:cs="宋体"/>
                <w:b w:val="0"/>
                <w:bCs w:val="0"/>
                <w:color w:val="auto"/>
                <w:sz w:val="22"/>
                <w:szCs w:val="22"/>
                <w:vertAlign w:val="baseline"/>
                <w:lang w:val="en-US" w:eastAsia="zh-Hans"/>
              </w:rPr>
              <w:t>主动安全系统</w:t>
            </w:r>
          </w:p>
        </w:tc>
        <w:tc>
          <w:tcPr>
            <w:tcW w:w="2201"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2</w:t>
            </w:r>
            <w:r>
              <w:rPr>
                <w:rFonts w:hint="eastAsia" w:ascii="宋体" w:hAnsi="宋体" w:eastAsia="宋体" w:cs="宋体"/>
                <w:b w:val="0"/>
                <w:bCs w:val="0"/>
                <w:color w:val="auto"/>
                <w:sz w:val="22"/>
                <w:szCs w:val="22"/>
                <w:vertAlign w:val="baseline"/>
                <w:lang w:val="en-US" w:eastAsia="zh-Hans"/>
              </w:rPr>
              <w:t>万套</w:t>
            </w:r>
          </w:p>
        </w:tc>
        <w:tc>
          <w:tcPr>
            <w:tcW w:w="215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10000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508"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新能源电动重卡</w:t>
            </w:r>
          </w:p>
        </w:tc>
        <w:tc>
          <w:tcPr>
            <w:tcW w:w="2201"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300</w:t>
            </w:r>
            <w:r>
              <w:rPr>
                <w:rFonts w:hint="eastAsia" w:ascii="宋体" w:hAnsi="宋体" w:eastAsia="宋体" w:cs="宋体"/>
                <w:b w:val="0"/>
                <w:bCs w:val="0"/>
                <w:color w:val="auto"/>
                <w:sz w:val="22"/>
                <w:szCs w:val="22"/>
                <w:vertAlign w:val="baseline"/>
                <w:lang w:val="en-US" w:eastAsia="zh-Hans"/>
              </w:rPr>
              <w:t>台</w:t>
            </w:r>
          </w:p>
        </w:tc>
        <w:tc>
          <w:tcPr>
            <w:tcW w:w="215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24000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508"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充换电站</w:t>
            </w:r>
          </w:p>
        </w:tc>
        <w:tc>
          <w:tcPr>
            <w:tcW w:w="2201"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w:t>
            </w:r>
            <w:r>
              <w:rPr>
                <w:rFonts w:hint="eastAsia" w:ascii="宋体" w:hAnsi="宋体" w:eastAsia="宋体" w:cs="宋体"/>
                <w:b w:val="0"/>
                <w:bCs w:val="0"/>
                <w:color w:val="auto"/>
                <w:sz w:val="22"/>
                <w:szCs w:val="22"/>
                <w:vertAlign w:val="baseline"/>
                <w:lang w:val="en-US" w:eastAsia="zh-Hans"/>
              </w:rPr>
              <w:t>个</w:t>
            </w:r>
          </w:p>
        </w:tc>
        <w:tc>
          <w:tcPr>
            <w:tcW w:w="215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3000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508"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一单制系统升级</w:t>
            </w:r>
          </w:p>
        </w:tc>
        <w:tc>
          <w:tcPr>
            <w:tcW w:w="2201"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w:t>
            </w:r>
            <w:r>
              <w:rPr>
                <w:rFonts w:hint="eastAsia" w:ascii="宋体" w:hAnsi="宋体" w:eastAsia="宋体" w:cs="宋体"/>
                <w:b w:val="0"/>
                <w:bCs w:val="0"/>
                <w:color w:val="auto"/>
                <w:sz w:val="22"/>
                <w:szCs w:val="22"/>
                <w:vertAlign w:val="baseline"/>
                <w:lang w:val="en-US" w:eastAsia="zh-Hans"/>
              </w:rPr>
              <w:t>套</w:t>
            </w:r>
          </w:p>
        </w:tc>
        <w:tc>
          <w:tcPr>
            <w:tcW w:w="215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5709" w:type="dxa"/>
            <w:gridSpan w:val="2"/>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eastAsia="zh-Hans"/>
              </w:rPr>
            </w:pPr>
            <w:r>
              <w:rPr>
                <w:rFonts w:hint="eastAsia" w:ascii="宋体" w:hAnsi="宋体" w:eastAsia="宋体" w:cs="宋体"/>
                <w:b w:val="0"/>
                <w:bCs w:val="0"/>
                <w:color w:val="auto"/>
                <w:sz w:val="22"/>
                <w:szCs w:val="22"/>
                <w:vertAlign w:val="baseline"/>
                <w:lang w:val="en-US" w:eastAsia="zh-Hans"/>
              </w:rPr>
              <w:t>合计</w:t>
            </w:r>
          </w:p>
        </w:tc>
        <w:tc>
          <w:tcPr>
            <w:tcW w:w="215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39320</w:t>
            </w:r>
            <w:r>
              <w:rPr>
                <w:rFonts w:hint="eastAsia" w:ascii="宋体" w:hAnsi="宋体" w:eastAsia="宋体" w:cs="宋体"/>
                <w:b w:val="0"/>
                <w:bCs w:val="0"/>
                <w:color w:val="auto"/>
                <w:sz w:val="22"/>
                <w:szCs w:val="22"/>
                <w:vertAlign w:val="baseline"/>
                <w:lang w:val="en-US" w:eastAsia="zh-Hans"/>
              </w:rPr>
              <w:t>万元</w:t>
            </w:r>
          </w:p>
        </w:tc>
      </w:tr>
    </w:tbl>
    <w:p>
      <w:pPr>
        <w:spacing w:line="360" w:lineRule="auto"/>
        <w:ind w:firstLine="420"/>
        <w:rPr>
          <w:rFonts w:hint="eastAsia" w:ascii="黑体" w:hAnsi="黑体" w:eastAsia="黑体" w:cs="黑体"/>
          <w:b/>
          <w:bCs w:val="0"/>
          <w:color w:val="auto"/>
          <w:sz w:val="24"/>
          <w:szCs w:val="32"/>
          <w:lang w:val="en-US" w:eastAsia="zh-Hans"/>
        </w:rPr>
      </w:pPr>
      <w:r>
        <w:rPr>
          <w:rFonts w:hint="eastAsia" w:ascii="黑体" w:hAnsi="黑体" w:eastAsia="黑体" w:cs="黑体"/>
          <w:b/>
          <w:bCs w:val="0"/>
          <w:color w:val="auto"/>
          <w:sz w:val="24"/>
          <w:szCs w:val="32"/>
          <w:lang w:val="en-US" w:eastAsia="zh-CN"/>
        </w:rPr>
        <w:t>2.</w:t>
      </w:r>
      <w:r>
        <w:rPr>
          <w:rFonts w:hint="eastAsia" w:ascii="黑体" w:hAnsi="黑体" w:eastAsia="黑体" w:cs="黑体"/>
          <w:b/>
          <w:bCs w:val="0"/>
          <w:color w:val="auto"/>
          <w:sz w:val="24"/>
          <w:szCs w:val="32"/>
          <w:lang w:val="en-US" w:eastAsia="zh-Hans"/>
        </w:rPr>
        <w:t>资金来源</w:t>
      </w:r>
    </w:p>
    <w:p>
      <w:pPr>
        <w:numPr>
          <w:ilvl w:val="0"/>
          <w:numId w:val="4"/>
        </w:numPr>
        <w:spacing w:line="360" w:lineRule="auto"/>
        <w:ind w:left="845" w:leftChars="0" w:hanging="425" w:firstLineChars="0"/>
        <w:rPr>
          <w:rFonts w:hint="default" w:ascii="Times New Roman" w:hAnsi="Times New Roman" w:cs="Times New Roman"/>
          <w:b w:val="0"/>
          <w:bCs/>
          <w:color w:val="auto"/>
          <w:sz w:val="22"/>
          <w:szCs w:val="28"/>
          <w:lang w:val="en-US" w:eastAsia="zh-Hans"/>
        </w:rPr>
      </w:pPr>
      <w:r>
        <w:rPr>
          <w:rFonts w:hint="eastAsia" w:ascii="Times New Roman" w:hAnsi="Times New Roman" w:cs="Times New Roman"/>
          <w:b w:val="0"/>
          <w:bCs/>
          <w:color w:val="auto"/>
          <w:sz w:val="22"/>
          <w:szCs w:val="28"/>
          <w:lang w:val="en-US" w:eastAsia="zh-Hans"/>
        </w:rPr>
        <w:t>政府主导投资</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成立混合所有制企业</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政府持股</w:t>
      </w:r>
      <w:r>
        <w:rPr>
          <w:rFonts w:hint="default" w:ascii="Times New Roman" w:hAnsi="Times New Roman" w:cs="Times New Roman"/>
          <w:b w:val="0"/>
          <w:bCs/>
          <w:color w:val="auto"/>
          <w:sz w:val="22"/>
          <w:szCs w:val="28"/>
          <w:lang w:val="en-US" w:eastAsia="zh-Hans"/>
        </w:rPr>
        <w:t>40%，</w:t>
      </w:r>
      <w:r>
        <w:rPr>
          <w:rFonts w:hint="eastAsia" w:ascii="Times New Roman" w:hAnsi="Times New Roman" w:cs="Times New Roman"/>
          <w:b w:val="0"/>
          <w:bCs/>
          <w:color w:val="auto"/>
          <w:sz w:val="22"/>
          <w:szCs w:val="28"/>
          <w:lang w:val="en-US" w:eastAsia="zh-Hans"/>
        </w:rPr>
        <w:t>负责资源协调</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政策对接</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主导企业融资的谈判和困难解决</w:t>
      </w:r>
      <w:r>
        <w:rPr>
          <w:rFonts w:hint="default" w:ascii="Times New Roman" w:hAnsi="Times New Roman" w:cs="Times New Roman"/>
          <w:b w:val="0"/>
          <w:bCs/>
          <w:color w:val="auto"/>
          <w:sz w:val="22"/>
          <w:szCs w:val="28"/>
          <w:lang w:val="en-US" w:eastAsia="zh-Hans"/>
        </w:rPr>
        <w:t>。</w:t>
      </w:r>
    </w:p>
    <w:p>
      <w:pPr>
        <w:numPr>
          <w:ilvl w:val="0"/>
          <w:numId w:val="4"/>
        </w:numPr>
        <w:spacing w:line="360" w:lineRule="auto"/>
        <w:ind w:left="845" w:leftChars="0" w:hanging="425" w:firstLineChars="0"/>
        <w:rPr>
          <w:rFonts w:hint="default" w:ascii="Times New Roman" w:hAnsi="Times New Roman" w:cs="Times New Roman"/>
          <w:b w:val="0"/>
          <w:bCs/>
          <w:color w:val="auto"/>
          <w:sz w:val="22"/>
          <w:szCs w:val="28"/>
          <w:lang w:val="en-US" w:eastAsia="zh-Hans"/>
        </w:rPr>
      </w:pPr>
      <w:r>
        <w:rPr>
          <w:rFonts w:hint="eastAsia" w:ascii="Times New Roman" w:hAnsi="Times New Roman" w:cs="Times New Roman"/>
          <w:b w:val="0"/>
          <w:bCs/>
          <w:color w:val="auto"/>
          <w:sz w:val="22"/>
          <w:szCs w:val="28"/>
          <w:lang w:val="en-US" w:eastAsia="zh-Hans"/>
        </w:rPr>
        <w:t>企业股东注资</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成立有限合伙企业</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将绥德现有网络货运企业参与者加入</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持股</w:t>
      </w:r>
      <w:r>
        <w:rPr>
          <w:rFonts w:hint="default" w:ascii="Times New Roman" w:hAnsi="Times New Roman" w:cs="Times New Roman"/>
          <w:b w:val="0"/>
          <w:bCs/>
          <w:color w:val="auto"/>
          <w:sz w:val="22"/>
          <w:szCs w:val="28"/>
          <w:lang w:val="en-US" w:eastAsia="zh-Hans"/>
        </w:rPr>
        <w:t>30%，</w:t>
      </w:r>
      <w:r>
        <w:rPr>
          <w:rFonts w:hint="eastAsia" w:ascii="Times New Roman" w:hAnsi="Times New Roman" w:cs="Times New Roman"/>
          <w:b w:val="0"/>
          <w:bCs/>
          <w:color w:val="auto"/>
          <w:sz w:val="22"/>
          <w:szCs w:val="28"/>
          <w:lang w:val="en-US" w:eastAsia="zh-Hans"/>
        </w:rPr>
        <w:t>对应投入数据资产和相对资金</w:t>
      </w:r>
      <w:r>
        <w:rPr>
          <w:rFonts w:hint="default" w:ascii="Times New Roman" w:hAnsi="Times New Roman" w:cs="Times New Roman"/>
          <w:b w:val="0"/>
          <w:bCs/>
          <w:color w:val="auto"/>
          <w:sz w:val="22"/>
          <w:szCs w:val="28"/>
          <w:lang w:val="en-US" w:eastAsia="zh-Hans"/>
        </w:rPr>
        <w:t>。</w:t>
      </w:r>
    </w:p>
    <w:p>
      <w:pPr>
        <w:numPr>
          <w:ilvl w:val="0"/>
          <w:numId w:val="4"/>
        </w:numPr>
        <w:spacing w:line="360" w:lineRule="auto"/>
        <w:ind w:left="845" w:leftChars="0" w:hanging="425" w:firstLineChars="0"/>
        <w:rPr>
          <w:rFonts w:hint="default" w:ascii="Times New Roman" w:hAnsi="Times New Roman" w:cs="Times New Roman"/>
          <w:b w:val="0"/>
          <w:bCs/>
          <w:color w:val="auto"/>
          <w:sz w:val="22"/>
          <w:szCs w:val="28"/>
          <w:lang w:val="en-US" w:eastAsia="zh-Hans"/>
        </w:rPr>
      </w:pPr>
      <w:r>
        <w:rPr>
          <w:rFonts w:hint="eastAsia" w:ascii="Times New Roman" w:hAnsi="Times New Roman" w:cs="Times New Roman"/>
          <w:b w:val="0"/>
          <w:bCs/>
          <w:color w:val="auto"/>
          <w:sz w:val="22"/>
          <w:szCs w:val="28"/>
          <w:lang w:val="en-US" w:eastAsia="zh-Hans"/>
        </w:rPr>
        <w:t>吸引行业</w:t>
      </w:r>
      <w:r>
        <w:rPr>
          <w:rFonts w:hint="eastAsia" w:ascii="Times New Roman" w:hAnsi="Times New Roman" w:cs="Times New Roman"/>
          <w:b w:val="0"/>
          <w:bCs/>
          <w:color w:val="auto"/>
          <w:sz w:val="22"/>
          <w:szCs w:val="28"/>
          <w:lang w:val="en-US" w:eastAsia="zh-CN"/>
        </w:rPr>
        <w:t>资本</w:t>
      </w:r>
      <w:r>
        <w:rPr>
          <w:rFonts w:hint="eastAsia" w:ascii="Times New Roman" w:hAnsi="Times New Roman" w:cs="Times New Roman"/>
          <w:b w:val="0"/>
          <w:bCs/>
          <w:color w:val="auto"/>
          <w:sz w:val="22"/>
          <w:szCs w:val="28"/>
          <w:lang w:val="en-US" w:eastAsia="zh-Hans"/>
        </w:rPr>
        <w:t>加入</w:t>
      </w:r>
      <w:r>
        <w:rPr>
          <w:rFonts w:hint="eastAsia" w:ascii="Times New Roman" w:hAnsi="Times New Roman" w:cs="Times New Roman"/>
          <w:b w:val="0"/>
          <w:bCs/>
          <w:color w:val="auto"/>
          <w:sz w:val="22"/>
          <w:szCs w:val="28"/>
          <w:lang w:val="en-US" w:eastAsia="zh-CN"/>
        </w:rPr>
        <w:t>。</w:t>
      </w:r>
      <w:r>
        <w:rPr>
          <w:rFonts w:hint="eastAsia" w:ascii="Times New Roman" w:hAnsi="Times New Roman" w:cs="Times New Roman"/>
          <w:b w:val="0"/>
          <w:bCs/>
          <w:color w:val="auto"/>
          <w:sz w:val="22"/>
          <w:szCs w:val="28"/>
          <w:lang w:val="en-US" w:eastAsia="zh-Hans"/>
        </w:rPr>
        <w:t>健全和完善投入产出计划</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吸引大数据集团</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大唐</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陕煤等行业有资本</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有资源的企业加入</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持股</w:t>
      </w:r>
      <w:r>
        <w:rPr>
          <w:rFonts w:hint="default" w:ascii="Times New Roman" w:hAnsi="Times New Roman" w:cs="Times New Roman"/>
          <w:b w:val="0"/>
          <w:bCs/>
          <w:color w:val="auto"/>
          <w:sz w:val="22"/>
          <w:szCs w:val="28"/>
          <w:lang w:val="en-US" w:eastAsia="zh-Hans"/>
        </w:rPr>
        <w:t>20%，</w:t>
      </w:r>
      <w:r>
        <w:rPr>
          <w:rFonts w:hint="eastAsia" w:ascii="Times New Roman" w:hAnsi="Times New Roman" w:cs="Times New Roman"/>
          <w:b w:val="0"/>
          <w:bCs/>
          <w:color w:val="auto"/>
          <w:sz w:val="22"/>
          <w:szCs w:val="28"/>
          <w:lang w:val="en-US" w:eastAsia="zh-Hans"/>
        </w:rPr>
        <w:t>投入对应的资源和资金共投共享</w:t>
      </w:r>
      <w:r>
        <w:rPr>
          <w:rFonts w:hint="default" w:ascii="Times New Roman" w:hAnsi="Times New Roman" w:cs="Times New Roman"/>
          <w:b w:val="0"/>
          <w:bCs/>
          <w:color w:val="auto"/>
          <w:sz w:val="22"/>
          <w:szCs w:val="28"/>
          <w:lang w:val="en-US" w:eastAsia="zh-Hans"/>
        </w:rPr>
        <w:t>。</w:t>
      </w:r>
    </w:p>
    <w:p>
      <w:pPr>
        <w:numPr>
          <w:ilvl w:val="0"/>
          <w:numId w:val="4"/>
        </w:numPr>
        <w:spacing w:line="360" w:lineRule="auto"/>
        <w:ind w:left="845" w:leftChars="0" w:hanging="425" w:firstLineChars="0"/>
        <w:rPr>
          <w:rFonts w:hint="default" w:ascii="Times New Roman" w:hAnsi="Times New Roman" w:cs="Times New Roman"/>
          <w:b w:val="0"/>
          <w:bCs/>
          <w:color w:val="auto"/>
          <w:sz w:val="22"/>
          <w:szCs w:val="28"/>
          <w:lang w:val="en-US" w:eastAsia="zh-Hans"/>
        </w:rPr>
      </w:pPr>
      <w:r>
        <w:rPr>
          <w:rFonts w:hint="eastAsia" w:ascii="Times New Roman" w:hAnsi="Times New Roman" w:cs="Times New Roman"/>
          <w:b w:val="0"/>
          <w:bCs/>
          <w:color w:val="auto"/>
          <w:sz w:val="22"/>
          <w:szCs w:val="28"/>
          <w:lang w:val="en-US" w:eastAsia="zh-Hans"/>
        </w:rPr>
        <w:t>引入</w:t>
      </w:r>
      <w:r>
        <w:rPr>
          <w:rFonts w:hint="eastAsia" w:ascii="Times New Roman" w:hAnsi="Times New Roman" w:cs="Times New Roman"/>
          <w:b w:val="0"/>
          <w:bCs/>
          <w:color w:val="auto"/>
          <w:sz w:val="22"/>
          <w:szCs w:val="28"/>
          <w:lang w:val="en-US" w:eastAsia="zh-CN"/>
        </w:rPr>
        <w:t>股权投资基金</w:t>
      </w:r>
      <w:r>
        <w:rPr>
          <w:rFonts w:hint="eastAsia" w:ascii="Times New Roman" w:hAnsi="Times New Roman" w:cs="Times New Roman"/>
          <w:b w:val="0"/>
          <w:bCs/>
          <w:color w:val="auto"/>
          <w:sz w:val="22"/>
          <w:szCs w:val="28"/>
          <w:lang w:val="en-US" w:eastAsia="zh-Hans"/>
        </w:rPr>
        <w:t>加入</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在政府</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企业</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资本的加入的背景下</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基于庞大数据的隐形价值</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引入投资基金的加入</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持股</w:t>
      </w:r>
      <w:r>
        <w:rPr>
          <w:rFonts w:hint="default" w:ascii="Times New Roman" w:hAnsi="Times New Roman" w:cs="Times New Roman"/>
          <w:b w:val="0"/>
          <w:bCs/>
          <w:color w:val="auto"/>
          <w:sz w:val="22"/>
          <w:szCs w:val="28"/>
          <w:lang w:val="en-US" w:eastAsia="zh-Hans"/>
        </w:rPr>
        <w:t>10%，</w:t>
      </w:r>
      <w:r>
        <w:rPr>
          <w:rFonts w:hint="eastAsia" w:ascii="Times New Roman" w:hAnsi="Times New Roman" w:cs="Times New Roman"/>
          <w:b w:val="0"/>
          <w:bCs/>
          <w:color w:val="auto"/>
          <w:sz w:val="22"/>
          <w:szCs w:val="28"/>
          <w:lang w:val="en-US" w:eastAsia="zh-Hans"/>
        </w:rPr>
        <w:t>对应投资</w:t>
      </w:r>
      <w:r>
        <w:rPr>
          <w:rFonts w:hint="default" w:ascii="Times New Roman" w:hAnsi="Times New Roman" w:cs="Times New Roman"/>
          <w:b w:val="0"/>
          <w:bCs/>
          <w:color w:val="auto"/>
          <w:sz w:val="22"/>
          <w:szCs w:val="28"/>
          <w:lang w:val="en-US" w:eastAsia="zh-Hans"/>
        </w:rPr>
        <w:t>，</w:t>
      </w:r>
      <w:r>
        <w:rPr>
          <w:rFonts w:hint="eastAsia" w:ascii="Times New Roman" w:hAnsi="Times New Roman" w:cs="Times New Roman"/>
          <w:b w:val="0"/>
          <w:bCs/>
          <w:color w:val="auto"/>
          <w:sz w:val="22"/>
          <w:szCs w:val="28"/>
          <w:lang w:val="en-US" w:eastAsia="zh-Hans"/>
        </w:rPr>
        <w:t>同时通过</w:t>
      </w:r>
      <w:r>
        <w:rPr>
          <w:rFonts w:hint="default" w:ascii="Times New Roman" w:hAnsi="Times New Roman" w:cs="Times New Roman"/>
          <w:b w:val="0"/>
          <w:bCs/>
          <w:color w:val="auto"/>
          <w:sz w:val="22"/>
          <w:szCs w:val="28"/>
          <w:lang w:val="en-US" w:eastAsia="zh-Hans"/>
        </w:rPr>
        <w:t>ABS</w:t>
      </w:r>
      <w:r>
        <w:rPr>
          <w:rFonts w:hint="eastAsia" w:ascii="Times New Roman" w:hAnsi="Times New Roman" w:cs="Times New Roman"/>
          <w:b w:val="0"/>
          <w:bCs/>
          <w:color w:val="auto"/>
          <w:sz w:val="22"/>
          <w:szCs w:val="28"/>
          <w:lang w:val="en-US" w:eastAsia="zh-Hans"/>
        </w:rPr>
        <w:t>募集短缺资金</w:t>
      </w:r>
      <w:r>
        <w:rPr>
          <w:rFonts w:hint="default" w:ascii="Times New Roman" w:hAnsi="Times New Roman" w:cs="Times New Roman"/>
          <w:b w:val="0"/>
          <w:bCs/>
          <w:color w:val="auto"/>
          <w:sz w:val="22"/>
          <w:szCs w:val="28"/>
          <w:lang w:val="en-US" w:eastAsia="zh-Hans"/>
        </w:rPr>
        <w:t>。</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default" w:ascii="黑体" w:hAnsi="黑体" w:eastAsia="黑体" w:cs="黑体"/>
          <w:b/>
          <w:bCs/>
          <w:sz w:val="28"/>
          <w:szCs w:val="36"/>
          <w:lang w:val="en-US" w:eastAsia="zh-CN"/>
        </w:rPr>
      </w:pPr>
      <w:r>
        <w:rPr>
          <w:rFonts w:hint="eastAsia" w:ascii="黑体" w:hAnsi="黑体" w:eastAsia="黑体" w:cs="黑体"/>
          <w:b/>
          <w:bCs/>
          <w:sz w:val="28"/>
          <w:szCs w:val="36"/>
          <w:lang w:val="en-US" w:eastAsia="zh-CN"/>
        </w:rPr>
        <w:t>项目建设保障</w:t>
      </w:r>
    </w:p>
    <w:p>
      <w:pPr>
        <w:spacing w:line="360" w:lineRule="auto"/>
        <w:ind w:firstLine="420"/>
        <w:rPr>
          <w:rFonts w:hint="default"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1.组织机构保障</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（1）由交通、发改部门牵头成立工作领导小组，保障主体公司快速启动，顺利推动；</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（2）由政府主导，将企业股东、社会资本、基金等引入共建成立主体公司，保障资金充足，快速推进；</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（3）设立组织架构，以混改制企业经营，保障公共物流信息服务平台安全、健康、稳定运行。</w:t>
      </w:r>
    </w:p>
    <w:p>
      <w:pPr>
        <w:spacing w:line="360" w:lineRule="auto"/>
        <w:ind w:firstLine="420"/>
        <w:rPr>
          <w:rFonts w:hint="eastAsia"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2.信息系统保障</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（1）</w:t>
      </w:r>
      <w:r>
        <w:rPr>
          <w:rFonts w:hint="default" w:ascii="Times New Roman" w:hAnsi="Times New Roman" w:cs="Times New Roman"/>
          <w:b w:val="0"/>
          <w:bCs w:val="0"/>
          <w:sz w:val="22"/>
          <w:szCs w:val="28"/>
          <w:lang w:val="en-US" w:eastAsia="zh-CN"/>
        </w:rPr>
        <w:t>系统满足三级等保标准并取得三级等保认证</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（2）</w:t>
      </w:r>
      <w:r>
        <w:rPr>
          <w:rFonts w:hint="default" w:ascii="Times New Roman" w:hAnsi="Times New Roman" w:cs="Times New Roman"/>
          <w:b w:val="0"/>
          <w:bCs w:val="0"/>
          <w:sz w:val="22"/>
          <w:szCs w:val="28"/>
          <w:lang w:val="en-US" w:eastAsia="zh-CN"/>
        </w:rPr>
        <w:t>与各平台信息化接口，本平台提供99.99%可用性</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（3）</w:t>
      </w:r>
      <w:r>
        <w:rPr>
          <w:rFonts w:hint="default" w:ascii="Times New Roman" w:hAnsi="Times New Roman" w:cs="Times New Roman"/>
          <w:b w:val="0"/>
          <w:bCs w:val="0"/>
          <w:sz w:val="22"/>
          <w:szCs w:val="28"/>
          <w:lang w:val="en-US" w:eastAsia="zh-CN"/>
        </w:rPr>
        <w:t>服务器内存利用率不高于80%</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（4）</w:t>
      </w:r>
      <w:r>
        <w:rPr>
          <w:rFonts w:hint="default" w:ascii="Times New Roman" w:hAnsi="Times New Roman" w:cs="Times New Roman"/>
          <w:b w:val="0"/>
          <w:bCs w:val="0"/>
          <w:sz w:val="22"/>
          <w:szCs w:val="28"/>
          <w:lang w:val="en-US" w:eastAsia="zh-CN"/>
        </w:rPr>
        <w:t>服务器存储利用率不高于80%</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（5）</w:t>
      </w:r>
      <w:r>
        <w:rPr>
          <w:rFonts w:hint="default" w:ascii="Times New Roman" w:hAnsi="Times New Roman" w:cs="Times New Roman"/>
          <w:b w:val="0"/>
          <w:bCs w:val="0"/>
          <w:sz w:val="22"/>
          <w:szCs w:val="28"/>
          <w:lang w:val="en-US" w:eastAsia="zh-CN"/>
        </w:rPr>
        <w:t>接口平均响应速度不低于600ms</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（6）</w:t>
      </w:r>
      <w:r>
        <w:rPr>
          <w:rFonts w:hint="default" w:ascii="Times New Roman" w:hAnsi="Times New Roman" w:cs="Times New Roman"/>
          <w:b w:val="0"/>
          <w:bCs w:val="0"/>
          <w:sz w:val="22"/>
          <w:szCs w:val="28"/>
          <w:lang w:val="en-US" w:eastAsia="zh-CN"/>
        </w:rPr>
        <w:t>最大并发用户数达到其系统设计要求时，各事务平均响应时间不应超过单用户平均响应时间的5倍。</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（7）</w:t>
      </w:r>
      <w:r>
        <w:rPr>
          <w:rFonts w:hint="default" w:ascii="Times New Roman" w:hAnsi="Times New Roman" w:cs="Times New Roman"/>
          <w:b w:val="0"/>
          <w:bCs w:val="0"/>
          <w:sz w:val="22"/>
          <w:szCs w:val="28"/>
          <w:lang w:val="en-US" w:eastAsia="zh-CN"/>
        </w:rPr>
        <w:t>高并发处理能力：平均1000条/s、峰值3000条/s。</w:t>
      </w:r>
    </w:p>
    <w:p>
      <w:pPr>
        <w:spacing w:line="360" w:lineRule="auto"/>
        <w:ind w:firstLine="420" w:firstLineChars="0"/>
        <w:rPr>
          <w:rFonts w:hint="default" w:ascii="Times New Roman" w:hAnsi="Times New Roman" w:cs="Times New Roman"/>
          <w:b w:val="0"/>
          <w:bCs w:val="0"/>
          <w:sz w:val="22"/>
          <w:szCs w:val="28"/>
          <w:lang w:val="en-US" w:eastAsia="zh-CN"/>
        </w:rPr>
      </w:pPr>
      <w:r>
        <w:rPr>
          <w:rFonts w:hint="default" w:ascii="Times New Roman" w:hAnsi="Times New Roman" w:cs="Times New Roman"/>
          <w:b w:val="0"/>
          <w:bCs w:val="0"/>
          <w:sz w:val="22"/>
          <w:szCs w:val="28"/>
          <w:lang w:val="en-US" w:eastAsia="zh-CN"/>
        </w:rPr>
        <w:t>网络传输环境应满足以下要求：</w:t>
      </w:r>
    </w:p>
    <w:p>
      <w:pPr>
        <w:spacing w:line="360" w:lineRule="auto"/>
        <w:ind w:firstLine="420" w:firstLineChars="0"/>
        <w:rPr>
          <w:rFonts w:hint="default" w:ascii="Times New Roman" w:hAnsi="Times New Roman" w:cs="Times New Roman"/>
          <w:b w:val="0"/>
          <w:bCs w:val="0"/>
          <w:sz w:val="22"/>
          <w:szCs w:val="28"/>
          <w:lang w:val="en-US" w:eastAsia="zh-CN"/>
        </w:rPr>
      </w:pPr>
      <w:r>
        <w:rPr>
          <w:rFonts w:hint="default" w:ascii="Times New Roman" w:hAnsi="Times New Roman" w:cs="Times New Roman"/>
          <w:b w:val="0"/>
          <w:bCs w:val="0"/>
          <w:sz w:val="22"/>
          <w:szCs w:val="28"/>
          <w:lang w:val="en-US" w:eastAsia="zh-CN"/>
        </w:rPr>
        <w:t>a)  支持互联网或专线网络等方式连接监管服务平台。</w:t>
      </w:r>
    </w:p>
    <w:p>
      <w:pPr>
        <w:spacing w:line="360" w:lineRule="auto"/>
        <w:ind w:firstLine="420" w:firstLineChars="0"/>
        <w:rPr>
          <w:rFonts w:hint="default" w:ascii="Times New Roman" w:hAnsi="Times New Roman" w:cs="Times New Roman"/>
          <w:b w:val="0"/>
          <w:bCs w:val="0"/>
          <w:sz w:val="22"/>
          <w:szCs w:val="28"/>
          <w:lang w:val="en-US" w:eastAsia="zh-CN"/>
        </w:rPr>
      </w:pPr>
      <w:r>
        <w:rPr>
          <w:rFonts w:hint="default" w:ascii="Times New Roman" w:hAnsi="Times New Roman" w:cs="Times New Roman"/>
          <w:b w:val="0"/>
          <w:bCs w:val="0"/>
          <w:sz w:val="22"/>
          <w:szCs w:val="28"/>
          <w:lang w:val="en-US" w:eastAsia="zh-CN"/>
        </w:rPr>
        <w:t>b）支持平台7×24h不间断运行。</w:t>
      </w:r>
    </w:p>
    <w:p>
      <w:pPr>
        <w:spacing w:line="360" w:lineRule="auto"/>
        <w:ind w:firstLine="420" w:firstLineChars="0"/>
        <w:rPr>
          <w:rFonts w:hint="default" w:ascii="Times New Roman" w:hAnsi="Times New Roman" w:cs="Times New Roman"/>
          <w:b w:val="0"/>
          <w:bCs w:val="0"/>
          <w:sz w:val="22"/>
          <w:szCs w:val="28"/>
          <w:lang w:val="en-US" w:eastAsia="zh-CN"/>
        </w:rPr>
      </w:pPr>
      <w:r>
        <w:rPr>
          <w:rFonts w:hint="default" w:ascii="Times New Roman" w:hAnsi="Times New Roman" w:cs="Times New Roman"/>
          <w:b w:val="0"/>
          <w:bCs w:val="0"/>
          <w:sz w:val="22"/>
          <w:szCs w:val="28"/>
          <w:lang w:val="en-US" w:eastAsia="zh-CN"/>
        </w:rPr>
        <w:t>c）在没有外部因素影响的情况下，故障恢复时间不超过120min。</w:t>
      </w:r>
    </w:p>
    <w:p>
      <w:pPr>
        <w:spacing w:line="360" w:lineRule="auto"/>
        <w:ind w:firstLine="420"/>
        <w:rPr>
          <w:rFonts w:hint="eastAsia"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3. 智能设备保障</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 13392-2005道路运输危险货物车辆标志</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GB/T 35658-2017道路运输车辆卫星定位系统　平台技术要求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 20300-2018道路运输爆炸品和剧毒化学品车辆安全技术条件</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 18564.1-2019道路运输液体危险货物罐式车辆　第1部分：金属常压罐体技术要求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 18564.2-2008道路运输液体危险货物罐式车辆　第2部分：非金属常压罐体技术要求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 1589 汽车、挂车及汽车列车外廓尺寸、轴荷及质量限值</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GB/T 5600 铁道货车通用技术条件</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GB/T 26774 车辆运输车通用技术条件</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1285-2020危险货物道路运输营运车辆安全技术条件</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1243-2019运输 道路运输车辆技术要求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1253-2019道路运输车辆卫星定位系统 车载终端检测方法</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794-2019道路运输车辆卫星定位系统 车载终端技术要求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808-2019道路运输车辆卫星定位系统 终端通讯协议及数据格式</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809-2019道路运输车辆卫星定位系统 平台数据交换</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1208-2018国际道路货物运输车辆选型技术要求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1159.1-2017道路运输车辆卫星定位系统 北斗兼容卫星定位模块 第1部分：技术要求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1159.2-2017道路运输车辆卫星定位系统 北斗兼容卫星定位模块 第2部分：通讯协议</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1120-2017道路运输车辆卫星定位系统 平台检测方法</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1076-2016道路运输车辆卫星定位系统 车载视频终端技术要求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1077-2016道路运输车辆卫星定位系统 视频平台技术要求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1078-2016道路运输车辆卫星定位系统 视频通讯协议</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808-2011道路运输车辆卫星定位系统 终端通讯协议及数据格式</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809-2011道路运输车辆卫星定位系统 平台数据交换</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796-2011道路运输车辆卫星定位系统 平台技术要求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794-2011道路运输车辆卫星定位系统 车载终端技术要求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1347-2020公铁联运货运枢纽功能区布设规范</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1273-2019公铁联运厢式半挂车标识</w:t>
      </w:r>
    </w:p>
    <w:p>
      <w:pPr>
        <w:spacing w:line="360" w:lineRule="auto"/>
        <w:ind w:firstLine="420"/>
        <w:rPr>
          <w:rFonts w:hint="eastAsia"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4．新能源车保障</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响应国家政策导向，结合基础设施及装备硬联通对配备符合低碳目标的作业设施、新能源货车和全货运机型的鼓励，基于绥北物流专用线每年1000万吨运输体量对运输工具的需求，绥德县产业创新园区网络货运产业数字研发中心集成了以新能源车为载体的公路运输物联网数据信息体系，计划投入300台电动重卡3个充换电站。新能源车的投入在保障信息化传输基础的同时实现了低碳、环保、绿色物流的优越价值。</w:t>
      </w:r>
    </w:p>
    <w:p>
      <w:pPr>
        <w:spacing w:line="360" w:lineRule="auto"/>
        <w:ind w:firstLine="420"/>
        <w:rPr>
          <w:rFonts w:hint="default"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5.专业人才保障</w:t>
      </w:r>
    </w:p>
    <w:p>
      <w:pPr>
        <w:spacing w:line="360" w:lineRule="auto"/>
        <w:ind w:firstLine="420"/>
        <w:rPr>
          <w:rFonts w:hint="eastAsia" w:ascii="Times New Roman" w:hAnsi="Times New Roman" w:cs="Times New Roman"/>
          <w:b w:val="0"/>
          <w:bCs/>
          <w:color w:val="auto"/>
          <w:sz w:val="22"/>
          <w:szCs w:val="28"/>
        </w:rPr>
      </w:pPr>
      <w:r>
        <w:rPr>
          <w:rFonts w:hint="eastAsia" w:ascii="Times New Roman" w:hAnsi="Times New Roman" w:cs="Times New Roman"/>
          <w:b w:val="0"/>
          <w:bCs/>
          <w:color w:val="auto"/>
          <w:sz w:val="22"/>
          <w:szCs w:val="28"/>
          <w:lang w:val="en-US" w:eastAsia="zh-CN"/>
        </w:rPr>
        <w:t>在高校设立“信息化+物流”专业和研究中心，培养相关复合型科技人才，同时进行相关技术人才引进，给予其技术经费和优越福利，吸引人才来参与项目建设，从而充实人才队伍。积极推动企业与高校、企业与企业之间的联合联盟，整合优质资源，进行信息和技术互通、人才互享，消除信息与技术壁垒，集中力量办大事。</w:t>
      </w:r>
    </w:p>
    <w:sectPr>
      <w:footerReference r:id="rId3" w:type="default"/>
      <w:pgSz w:w="11906" w:h="16838"/>
      <w:pgMar w:top="1327" w:right="1746" w:bottom="1327" w:left="17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E88CC1"/>
    <w:multiLevelType w:val="singleLevel"/>
    <w:tmpl w:val="FBE88CC1"/>
    <w:lvl w:ilvl="0" w:tentative="0">
      <w:start w:val="1"/>
      <w:numFmt w:val="decimal"/>
      <w:lvlText w:val="(%1)"/>
      <w:lvlJc w:val="left"/>
      <w:pPr>
        <w:tabs>
          <w:tab w:val="left" w:pos="420"/>
        </w:tabs>
        <w:ind w:left="845" w:hanging="425"/>
      </w:pPr>
      <w:rPr>
        <w:rFonts w:hint="default"/>
      </w:rPr>
    </w:lvl>
  </w:abstractNum>
  <w:abstractNum w:abstractNumId="1">
    <w:nsid w:val="071211DD"/>
    <w:multiLevelType w:val="singleLevel"/>
    <w:tmpl w:val="071211DD"/>
    <w:lvl w:ilvl="0" w:tentative="0">
      <w:start w:val="4"/>
      <w:numFmt w:val="decimal"/>
      <w:suff w:val="space"/>
      <w:lvlText w:val="%1."/>
      <w:lvlJc w:val="left"/>
    </w:lvl>
  </w:abstractNum>
  <w:abstractNum w:abstractNumId="2">
    <w:nsid w:val="58361046"/>
    <w:multiLevelType w:val="singleLevel"/>
    <w:tmpl w:val="58361046"/>
    <w:lvl w:ilvl="0" w:tentative="0">
      <w:start w:val="1"/>
      <w:numFmt w:val="decimal"/>
      <w:suff w:val="nothing"/>
      <w:lvlText w:val="（%1）"/>
      <w:lvlJc w:val="left"/>
    </w:lvl>
  </w:abstractNum>
  <w:abstractNum w:abstractNumId="3">
    <w:nsid w:val="5F1B544C"/>
    <w:multiLevelType w:val="singleLevel"/>
    <w:tmpl w:val="5F1B544C"/>
    <w:lvl w:ilvl="0" w:tentative="0">
      <w:start w:val="2"/>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241C2B"/>
    <w:rsid w:val="008878D1"/>
    <w:rsid w:val="00D84A30"/>
    <w:rsid w:val="01B42948"/>
    <w:rsid w:val="04367644"/>
    <w:rsid w:val="05B52AF1"/>
    <w:rsid w:val="06002521"/>
    <w:rsid w:val="06507D6E"/>
    <w:rsid w:val="0667442D"/>
    <w:rsid w:val="073C68CD"/>
    <w:rsid w:val="081473CE"/>
    <w:rsid w:val="081615FF"/>
    <w:rsid w:val="093A1F6D"/>
    <w:rsid w:val="09855CD9"/>
    <w:rsid w:val="0AE13E7F"/>
    <w:rsid w:val="0B1A1A6E"/>
    <w:rsid w:val="0BC65752"/>
    <w:rsid w:val="0C256CF1"/>
    <w:rsid w:val="0E1C4F04"/>
    <w:rsid w:val="0EAE67B2"/>
    <w:rsid w:val="0FEE65B5"/>
    <w:rsid w:val="10C67196"/>
    <w:rsid w:val="10FB1AA8"/>
    <w:rsid w:val="13390EFF"/>
    <w:rsid w:val="13C07AA1"/>
    <w:rsid w:val="14117786"/>
    <w:rsid w:val="14164D9C"/>
    <w:rsid w:val="14D47131"/>
    <w:rsid w:val="152B4AC1"/>
    <w:rsid w:val="15F232AA"/>
    <w:rsid w:val="16257519"/>
    <w:rsid w:val="163F4A7E"/>
    <w:rsid w:val="16C02247"/>
    <w:rsid w:val="16D06A14"/>
    <w:rsid w:val="1762439D"/>
    <w:rsid w:val="1859584D"/>
    <w:rsid w:val="18C179CD"/>
    <w:rsid w:val="1A810F92"/>
    <w:rsid w:val="1BA24730"/>
    <w:rsid w:val="1D175E0D"/>
    <w:rsid w:val="1F5C4C46"/>
    <w:rsid w:val="200B777F"/>
    <w:rsid w:val="20F052F3"/>
    <w:rsid w:val="219A0DBB"/>
    <w:rsid w:val="2208666C"/>
    <w:rsid w:val="2227339F"/>
    <w:rsid w:val="222D60D3"/>
    <w:rsid w:val="249B3788"/>
    <w:rsid w:val="24D23829"/>
    <w:rsid w:val="252450E0"/>
    <w:rsid w:val="253F79CD"/>
    <w:rsid w:val="276B73F4"/>
    <w:rsid w:val="27CB5757"/>
    <w:rsid w:val="2B195446"/>
    <w:rsid w:val="2C625CC0"/>
    <w:rsid w:val="2C7C3EDF"/>
    <w:rsid w:val="2CFF06C0"/>
    <w:rsid w:val="2DD969D9"/>
    <w:rsid w:val="30FE79EE"/>
    <w:rsid w:val="317F5440"/>
    <w:rsid w:val="32607DFF"/>
    <w:rsid w:val="32DA370D"/>
    <w:rsid w:val="33174961"/>
    <w:rsid w:val="343230D5"/>
    <w:rsid w:val="349820B9"/>
    <w:rsid w:val="359F479A"/>
    <w:rsid w:val="367774C5"/>
    <w:rsid w:val="36C156F9"/>
    <w:rsid w:val="37D526F5"/>
    <w:rsid w:val="37FA1611"/>
    <w:rsid w:val="38875D36"/>
    <w:rsid w:val="3A03568C"/>
    <w:rsid w:val="3A7461F5"/>
    <w:rsid w:val="3B2220F5"/>
    <w:rsid w:val="3B595EA9"/>
    <w:rsid w:val="3B5D4EDB"/>
    <w:rsid w:val="3BFE3181"/>
    <w:rsid w:val="3CAF5C0A"/>
    <w:rsid w:val="3EFD0EAF"/>
    <w:rsid w:val="3F0E02A4"/>
    <w:rsid w:val="40104C12"/>
    <w:rsid w:val="41344930"/>
    <w:rsid w:val="4296401C"/>
    <w:rsid w:val="42A3487B"/>
    <w:rsid w:val="42DA770D"/>
    <w:rsid w:val="42FE51F6"/>
    <w:rsid w:val="43346A23"/>
    <w:rsid w:val="43C63C5F"/>
    <w:rsid w:val="45F11042"/>
    <w:rsid w:val="45FE5E1A"/>
    <w:rsid w:val="46D71FE6"/>
    <w:rsid w:val="498F7170"/>
    <w:rsid w:val="4A7E5E83"/>
    <w:rsid w:val="4D414C08"/>
    <w:rsid w:val="4D55254C"/>
    <w:rsid w:val="4D661B97"/>
    <w:rsid w:val="4D814A59"/>
    <w:rsid w:val="4E9A318A"/>
    <w:rsid w:val="502A7044"/>
    <w:rsid w:val="50E35A2B"/>
    <w:rsid w:val="51CD6626"/>
    <w:rsid w:val="525070F0"/>
    <w:rsid w:val="53980D4F"/>
    <w:rsid w:val="54A159E1"/>
    <w:rsid w:val="54DD4F57"/>
    <w:rsid w:val="552A1E7A"/>
    <w:rsid w:val="56CD51B3"/>
    <w:rsid w:val="57241C2B"/>
    <w:rsid w:val="5753390A"/>
    <w:rsid w:val="5799065D"/>
    <w:rsid w:val="58366D88"/>
    <w:rsid w:val="58CC0CEC"/>
    <w:rsid w:val="5A9D4E9D"/>
    <w:rsid w:val="5B3255E5"/>
    <w:rsid w:val="5C7E2828"/>
    <w:rsid w:val="5D4505F5"/>
    <w:rsid w:val="5D8D6CAD"/>
    <w:rsid w:val="5DD40BD5"/>
    <w:rsid w:val="5E465A27"/>
    <w:rsid w:val="5E5830EC"/>
    <w:rsid w:val="5EBF5330"/>
    <w:rsid w:val="5F9C1BC7"/>
    <w:rsid w:val="6085124A"/>
    <w:rsid w:val="60CC4289"/>
    <w:rsid w:val="62460B51"/>
    <w:rsid w:val="62467E33"/>
    <w:rsid w:val="62AF7E63"/>
    <w:rsid w:val="62DD677E"/>
    <w:rsid w:val="64294289"/>
    <w:rsid w:val="656F18FF"/>
    <w:rsid w:val="65DE4CE7"/>
    <w:rsid w:val="671D35ED"/>
    <w:rsid w:val="67874F0A"/>
    <w:rsid w:val="67A05409"/>
    <w:rsid w:val="6919323E"/>
    <w:rsid w:val="69270753"/>
    <w:rsid w:val="694D07ED"/>
    <w:rsid w:val="69A10B91"/>
    <w:rsid w:val="6B99653C"/>
    <w:rsid w:val="6D0A491F"/>
    <w:rsid w:val="6D5727AC"/>
    <w:rsid w:val="6DB4645E"/>
    <w:rsid w:val="6DC82025"/>
    <w:rsid w:val="6E3B7411"/>
    <w:rsid w:val="6FE36C39"/>
    <w:rsid w:val="70310109"/>
    <w:rsid w:val="710D6C30"/>
    <w:rsid w:val="71362402"/>
    <w:rsid w:val="71C54FAD"/>
    <w:rsid w:val="720A066F"/>
    <w:rsid w:val="726522EC"/>
    <w:rsid w:val="72656FEF"/>
    <w:rsid w:val="72E2393D"/>
    <w:rsid w:val="7318110C"/>
    <w:rsid w:val="7386076C"/>
    <w:rsid w:val="742B77FD"/>
    <w:rsid w:val="786848E4"/>
    <w:rsid w:val="788D434B"/>
    <w:rsid w:val="79EE7FBA"/>
    <w:rsid w:val="7BDF1277"/>
    <w:rsid w:val="7C3F3BAE"/>
    <w:rsid w:val="7D766E5F"/>
    <w:rsid w:val="7E0E1A8A"/>
    <w:rsid w:val="7E620711"/>
    <w:rsid w:val="7EA83C8C"/>
    <w:rsid w:val="7ED44A81"/>
    <w:rsid w:val="7F3A0A28"/>
    <w:rsid w:val="7FEA7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2022-07-23T10:23:00Z</dcterms:created>
  <dc:creator>柯娜</dc:creator>
  <cp:lastModifiedBy>柯娜</cp:lastModifiedBy>
  <dcterms:modified xsi:type="dcterms:W3CDTF">2022-07-24T08:13:39Z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BD88F86764864645BCBAF3F66D0C3194</vt:lpwstr>
  </property>
</Properties>
</file>