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微软雅黑" w:hAnsi="微软雅黑" w:eastAsia="微软雅黑"/>
          <w:sz w:val="56"/>
          <w:szCs w:val="36"/>
        </w:rPr>
      </w:pPr>
    </w:p>
    <w:p>
      <w:pPr>
        <w:pStyle w:val="2"/>
        <w:jc w:val="center"/>
        <w:rPr>
          <w:rFonts w:hint="eastAsia" w:ascii="仿宋" w:hAnsi="仿宋" w:eastAsia="仿宋" w:cs="仿宋"/>
          <w:sz w:val="56"/>
          <w:szCs w:val="36"/>
        </w:rPr>
      </w:pPr>
      <w:r>
        <w:rPr>
          <w:rFonts w:hint="eastAsia" w:ascii="仿宋" w:hAnsi="仿宋" w:eastAsia="仿宋" w:cs="仿宋"/>
          <w:sz w:val="56"/>
          <w:szCs w:val="36"/>
        </w:rPr>
        <w:t>陕西榆林物流产业数字经济平台</w:t>
      </w:r>
    </w:p>
    <w:p>
      <w:pPr>
        <w:pStyle w:val="2"/>
        <w:jc w:val="center"/>
        <w:rPr>
          <w:rFonts w:hint="eastAsia" w:ascii="仿宋" w:hAnsi="仿宋" w:eastAsia="仿宋" w:cs="仿宋"/>
        </w:rPr>
      </w:pPr>
      <w:r>
        <w:rPr>
          <w:rFonts w:hint="eastAsia" w:ascii="仿宋" w:hAnsi="仿宋" w:eastAsia="仿宋" w:cs="仿宋"/>
          <w:sz w:val="56"/>
          <w:szCs w:val="36"/>
        </w:rPr>
        <w:t>后市场建设方案框架设计</w:t>
      </w:r>
    </w:p>
    <w:p>
      <w:pPr>
        <w:pStyle w:val="2"/>
        <w:jc w:val="center"/>
        <w:rPr>
          <w:rFonts w:ascii="微软雅黑" w:hAnsi="微软雅黑" w:eastAsia="微软雅黑"/>
        </w:rPr>
      </w:pPr>
    </w:p>
    <w:p>
      <w:pPr>
        <w:pStyle w:val="2"/>
        <w:jc w:val="center"/>
        <w:rPr>
          <w:rFonts w:ascii="微软雅黑" w:hAnsi="微软雅黑" w:eastAsia="微软雅黑"/>
        </w:rPr>
      </w:pPr>
    </w:p>
    <w:p>
      <w:pPr>
        <w:pStyle w:val="2"/>
        <w:jc w:val="center"/>
        <w:rPr>
          <w:rFonts w:ascii="微软雅黑" w:hAnsi="微软雅黑" w:eastAsia="微软雅黑"/>
        </w:rPr>
      </w:pPr>
    </w:p>
    <w:p>
      <w:pPr>
        <w:pStyle w:val="2"/>
        <w:jc w:val="cente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jc w:val="center"/>
        <w:rPr>
          <w:rFonts w:hint="eastAsia" w:ascii="仿宋" w:hAnsi="仿宋" w:eastAsia="仿宋" w:cs="仿宋"/>
          <w:b/>
          <w:bCs/>
          <w:sz w:val="32"/>
          <w:szCs w:val="40"/>
        </w:rPr>
      </w:pPr>
      <w:r>
        <w:rPr>
          <w:rFonts w:hint="eastAsia" w:ascii="仿宋" w:hAnsi="仿宋" w:eastAsia="仿宋" w:cs="仿宋"/>
          <w:b/>
          <w:bCs/>
          <w:sz w:val="32"/>
          <w:szCs w:val="40"/>
        </w:rPr>
        <w:t>京卡物联（北京）数据技术有限公司</w:t>
      </w:r>
    </w:p>
    <w:p>
      <w:pPr>
        <w:jc w:val="center"/>
        <w:rPr>
          <w:rFonts w:hint="eastAsia" w:ascii="仿宋" w:hAnsi="仿宋" w:eastAsia="仿宋" w:cs="仿宋"/>
          <w:b/>
          <w:bCs/>
          <w:sz w:val="32"/>
          <w:szCs w:val="40"/>
        </w:rPr>
      </w:pPr>
    </w:p>
    <w:p>
      <w:pPr>
        <w:ind w:firstLine="3520" w:firstLineChars="1100"/>
        <w:jc w:val="both"/>
        <w:rPr>
          <w:rFonts w:hint="eastAsia" w:ascii="仿宋" w:hAnsi="仿宋" w:eastAsia="仿宋" w:cs="仿宋"/>
          <w:b w:val="0"/>
          <w:bCs w:val="0"/>
          <w:sz w:val="32"/>
          <w:szCs w:val="40"/>
          <w:lang w:val="en-US" w:eastAsia="zh-CN"/>
        </w:rPr>
      </w:pPr>
      <w:r>
        <w:rPr>
          <w:rFonts w:hint="eastAsia" w:ascii="仿宋" w:hAnsi="仿宋" w:eastAsia="仿宋" w:cs="仿宋"/>
          <w:b w:val="0"/>
          <w:bCs w:val="0"/>
          <w:sz w:val="32"/>
          <w:szCs w:val="40"/>
        </w:rPr>
        <w:t>2020</w:t>
      </w:r>
      <w:r>
        <w:rPr>
          <w:rFonts w:hint="eastAsia" w:ascii="仿宋" w:hAnsi="仿宋" w:eastAsia="仿宋" w:cs="仿宋"/>
          <w:b w:val="0"/>
          <w:bCs w:val="0"/>
          <w:sz w:val="32"/>
          <w:szCs w:val="40"/>
          <w:lang w:val="en-US" w:eastAsia="zh-CN"/>
        </w:rPr>
        <w:t>年</w:t>
      </w:r>
      <w:r>
        <w:rPr>
          <w:rFonts w:hint="eastAsia" w:ascii="仿宋" w:hAnsi="仿宋" w:eastAsia="仿宋" w:cs="仿宋"/>
          <w:b w:val="0"/>
          <w:bCs w:val="0"/>
          <w:sz w:val="32"/>
          <w:szCs w:val="40"/>
        </w:rPr>
        <w:t>3</w:t>
      </w:r>
      <w:r>
        <w:rPr>
          <w:rFonts w:hint="eastAsia" w:ascii="仿宋" w:hAnsi="仿宋" w:eastAsia="仿宋" w:cs="仿宋"/>
          <w:b w:val="0"/>
          <w:bCs w:val="0"/>
          <w:sz w:val="32"/>
          <w:szCs w:val="40"/>
          <w:lang w:val="en-US" w:eastAsia="zh-CN"/>
        </w:rPr>
        <w:t>月</w:t>
      </w:r>
      <w:r>
        <w:rPr>
          <w:rFonts w:hint="eastAsia" w:ascii="仿宋" w:hAnsi="仿宋" w:eastAsia="仿宋" w:cs="仿宋"/>
          <w:b w:val="0"/>
          <w:bCs w:val="0"/>
          <w:sz w:val="32"/>
          <w:szCs w:val="40"/>
        </w:rPr>
        <w:t>29</w:t>
      </w:r>
      <w:r>
        <w:rPr>
          <w:rFonts w:hint="eastAsia" w:ascii="仿宋" w:hAnsi="仿宋" w:eastAsia="仿宋" w:cs="仿宋"/>
          <w:b w:val="0"/>
          <w:bCs w:val="0"/>
          <w:sz w:val="32"/>
          <w:szCs w:val="40"/>
          <w:lang w:val="en-US" w:eastAsia="zh-CN"/>
        </w:rPr>
        <w:t>日</w:t>
      </w:r>
    </w:p>
    <w:p>
      <w:pPr>
        <w:pStyle w:val="2"/>
        <w:jc w:val="center"/>
        <w:rPr>
          <w:rFonts w:hint="eastAsia" w:ascii="仿宋" w:hAnsi="仿宋" w:eastAsia="仿宋" w:cs="仿宋"/>
        </w:rPr>
      </w:pPr>
      <w:r>
        <w:rPr>
          <w:rFonts w:hint="eastAsia" w:ascii="仿宋" w:hAnsi="仿宋" w:eastAsia="仿宋" w:cs="仿宋"/>
        </w:rPr>
        <w:t>陕西榆林物流产业数字经济平台</w:t>
      </w:r>
    </w:p>
    <w:p>
      <w:pPr>
        <w:pStyle w:val="2"/>
        <w:jc w:val="center"/>
        <w:rPr>
          <w:rFonts w:hint="eastAsia" w:ascii="仿宋" w:hAnsi="仿宋" w:eastAsia="仿宋" w:cs="仿宋"/>
        </w:rPr>
      </w:pPr>
      <w:r>
        <w:rPr>
          <w:rFonts w:hint="eastAsia" w:ascii="仿宋" w:hAnsi="仿宋" w:eastAsia="仿宋" w:cs="仿宋"/>
        </w:rPr>
        <w:t>后市场建设方案框架设计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贯彻落实国务院关于促进平台经济规范健康发展的决策部署，规范网络平台道路货物运输经营，维护道路货物运输市场秩序，促进物流业降本增效，交通运输部、国家税务总局在系统总结无车承运人试点工作的基础上，制定了《网络平台道路货物运输经营管理暂行办法》。《办法》将“无车承运”更名为“网络平台道路货物运输经营”，并对其定义和法律地位进行了明确界定。同时，贯彻落实“放管服”改革要求，以不增设许可、不突破既有法律法规为基本原则，确定了网络货运经营条件，放宽市场准入限制，鼓励发展新业态。《办法》鼓励网络货运经营者利用大数据、云计算、卫星定位、人工智能等技术整合资源，应用多式联运、甩挂运输和共同配送等运输组织模式，实现规模化、集约化运输生产。</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网络货运产业的发展现状与趋势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i w:val="0"/>
          <w:caps w:val="0"/>
          <w:color w:val="1A1A1A"/>
          <w:spacing w:val="0"/>
          <w:sz w:val="32"/>
          <w:szCs w:val="32"/>
          <w:u w:val="none"/>
          <w:shd w:val="clear" w:fill="FFFFFF"/>
        </w:rPr>
        <w:t>近年来，随着我国综合交通运输体系的不断发展，公路网覆盖范围不断扩大，公路干线运输能力不断提高</w:t>
      </w:r>
      <w:r>
        <w:rPr>
          <w:rFonts w:hint="eastAsia" w:ascii="仿宋" w:hAnsi="仿宋" w:eastAsia="仿宋" w:cs="仿宋"/>
          <w:i w:val="0"/>
          <w:caps w:val="0"/>
          <w:color w:val="1A1A1A"/>
          <w:spacing w:val="0"/>
          <w:sz w:val="32"/>
          <w:szCs w:val="32"/>
          <w:u w:val="none"/>
          <w:shd w:val="clear" w:fill="FFFFFF"/>
          <w:lang w:eastAsia="zh-CN"/>
        </w:rPr>
        <w:t>，</w:t>
      </w:r>
      <w:r>
        <w:rPr>
          <w:rFonts w:hint="eastAsia" w:ascii="仿宋" w:hAnsi="仿宋" w:eastAsia="仿宋" w:cs="仿宋"/>
          <w:i w:val="0"/>
          <w:caps w:val="0"/>
          <w:color w:val="1A1A1A"/>
          <w:spacing w:val="0"/>
          <w:sz w:val="32"/>
          <w:szCs w:val="32"/>
          <w:u w:val="none"/>
          <w:shd w:val="clear" w:fill="FFFFFF"/>
        </w:rPr>
        <w:t>网络货运”模式从美国罗宾逊开始逐步进入中国市场。网络货运</w:t>
      </w:r>
      <w:r>
        <w:rPr>
          <w:rFonts w:hint="eastAsia" w:ascii="仿宋" w:hAnsi="仿宋" w:eastAsia="仿宋" w:cs="仿宋"/>
          <w:i w:val="0"/>
          <w:caps w:val="0"/>
          <w:color w:val="1A1A1A"/>
          <w:spacing w:val="0"/>
          <w:sz w:val="32"/>
          <w:szCs w:val="32"/>
          <w:u w:val="none"/>
          <w:shd w:val="clear" w:fill="FFFFFF"/>
          <w:lang w:eastAsia="zh-CN"/>
        </w:rPr>
        <w:t>，</w:t>
      </w:r>
      <w:r>
        <w:rPr>
          <w:rFonts w:hint="eastAsia" w:ascii="仿宋" w:hAnsi="仿宋" w:eastAsia="仿宋" w:cs="仿宋"/>
          <w:i w:val="0"/>
          <w:caps w:val="0"/>
          <w:color w:val="1A1A1A"/>
          <w:spacing w:val="0"/>
          <w:sz w:val="32"/>
          <w:szCs w:val="32"/>
          <w:u w:val="none"/>
          <w:shd w:val="clear" w:fill="FFFFFF"/>
        </w:rPr>
        <w:t>从无到有，不断受到国家高度重视，其相关政策也开始萌芽、逐步形成并予颁布。</w:t>
      </w:r>
      <w:r>
        <w:rPr>
          <w:rFonts w:hint="eastAsia" w:ascii="仿宋" w:hAnsi="仿宋" w:eastAsia="仿宋" w:cs="仿宋"/>
          <w:sz w:val="32"/>
          <w:szCs w:val="32"/>
          <w:lang w:val="en-US" w:eastAsia="zh-CN"/>
        </w:rPr>
        <w:t>2019年9月6日，交通运输部、国家税务总局在系统总结前期无车承运人试点工作的基础上，印发交通运输部、国家税务总局关于印发《网络平台道路货物运输经营管理暂行办法》的通知（以下简称《通知》），明确交通运输部无车承运人试点工作于2019年12月31日结束。《通知》从2020年1月1日起为期2年，</w:t>
      </w:r>
      <w:r>
        <w:rPr>
          <w:rFonts w:hint="eastAsia" w:ascii="仿宋" w:hAnsi="仿宋" w:eastAsia="仿宋" w:cs="仿宋"/>
          <w:sz w:val="32"/>
          <w:szCs w:val="32"/>
          <w:lang w:eastAsia="zh-CN"/>
        </w:rPr>
        <w:t>期间为</w:t>
      </w:r>
      <w:r>
        <w:rPr>
          <w:rFonts w:hint="eastAsia" w:ascii="仿宋" w:hAnsi="仿宋" w:eastAsia="仿宋" w:cs="仿宋"/>
          <w:sz w:val="32"/>
          <w:szCs w:val="32"/>
          <w:lang w:val="en-US" w:eastAsia="zh-CN"/>
        </w:rPr>
        <w:t>网络货运</w:t>
      </w:r>
      <w:r>
        <w:rPr>
          <w:rFonts w:hint="eastAsia" w:ascii="仿宋" w:hAnsi="仿宋" w:eastAsia="仿宋" w:cs="仿宋"/>
          <w:sz w:val="32"/>
          <w:szCs w:val="32"/>
          <w:lang w:eastAsia="zh-CN"/>
        </w:rPr>
        <w:t>试行</w:t>
      </w:r>
      <w:r>
        <w:rPr>
          <w:rFonts w:hint="eastAsia" w:ascii="仿宋" w:hAnsi="仿宋" w:eastAsia="仿宋" w:cs="仿宋"/>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网络货运</w:t>
      </w:r>
      <w:r>
        <w:rPr>
          <w:rFonts w:hint="eastAsia" w:ascii="仿宋" w:hAnsi="仿宋" w:eastAsia="仿宋" w:cs="仿宋"/>
          <w:sz w:val="32"/>
          <w:szCs w:val="32"/>
        </w:rPr>
        <w:t>以数据为驱动，向市场提供创新产品服务，规模化效应提升，通过数据积累沉淀，逐渐形成行业级物流数字化引擎。</w:t>
      </w:r>
      <w:r>
        <w:rPr>
          <w:rFonts w:hint="eastAsia" w:ascii="仿宋" w:hAnsi="仿宋" w:eastAsia="仿宋" w:cs="仿宋"/>
          <w:kern w:val="2"/>
          <w:sz w:val="32"/>
          <w:szCs w:val="32"/>
        </w:rPr>
        <w:t>规模日益扩张</w:t>
      </w:r>
      <w:r>
        <w:rPr>
          <w:rFonts w:hint="eastAsia" w:ascii="仿宋" w:hAnsi="仿宋" w:eastAsia="仿宋" w:cs="仿宋"/>
          <w:kern w:val="2"/>
          <w:sz w:val="32"/>
          <w:szCs w:val="32"/>
          <w:lang w:eastAsia="zh-CN"/>
        </w:rPr>
        <w:t>，</w:t>
      </w:r>
      <w:r>
        <w:rPr>
          <w:rFonts w:hint="eastAsia" w:ascii="仿宋" w:hAnsi="仿宋" w:eastAsia="仿宋" w:cs="仿宋"/>
          <w:sz w:val="32"/>
          <w:szCs w:val="32"/>
        </w:rPr>
        <w:t>信用体系的建立促进在线交易市场成熟发展</w:t>
      </w:r>
      <w:r>
        <w:rPr>
          <w:rFonts w:hint="eastAsia" w:ascii="仿宋" w:hAnsi="仿宋" w:eastAsia="仿宋" w:cs="仿宋"/>
          <w:sz w:val="32"/>
          <w:szCs w:val="32"/>
          <w:lang w:eastAsia="zh-CN"/>
        </w:rPr>
        <w:t>，</w:t>
      </w:r>
      <w:r>
        <w:rPr>
          <w:rFonts w:hint="eastAsia" w:ascii="仿宋" w:hAnsi="仿宋" w:eastAsia="仿宋" w:cs="仿宋"/>
          <w:kern w:val="2"/>
          <w:sz w:val="32"/>
          <w:szCs w:val="32"/>
        </w:rPr>
        <w:t>供应链上下游协同互联，跨平台联接促进物流向高效、集约化方向发展</w:t>
      </w:r>
      <w:r>
        <w:rPr>
          <w:rFonts w:hint="eastAsia" w:ascii="仿宋" w:hAnsi="仿宋" w:eastAsia="仿宋" w:cs="仿宋"/>
          <w:kern w:val="2"/>
          <w:sz w:val="32"/>
          <w:szCs w:val="32"/>
          <w:lang w:eastAsia="zh-CN"/>
        </w:rPr>
        <w:t>，</w:t>
      </w:r>
      <w:r>
        <w:rPr>
          <w:rFonts w:hint="eastAsia" w:ascii="仿宋" w:hAnsi="仿宋" w:eastAsia="仿宋" w:cs="仿宋"/>
          <w:sz w:val="32"/>
          <w:szCs w:val="32"/>
        </w:rPr>
        <w:t>利润从“作业”层面向“价值”层面转移</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1" w:firstLineChars="200"/>
        <w:jc w:val="both"/>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lang w:val="en-US" w:eastAsia="zh-CN"/>
        </w:rPr>
        <w:t>二、</w:t>
      </w:r>
      <w:r>
        <w:rPr>
          <w:rFonts w:hint="eastAsia" w:ascii="华文楷体" w:hAnsi="华文楷体" w:eastAsia="华文楷体" w:cs="华文楷体"/>
          <w:b/>
          <w:bCs/>
          <w:sz w:val="32"/>
          <w:szCs w:val="32"/>
        </w:rPr>
        <w:t>网络货运对监管部门提出更高要求</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为确保无车承运试点工作的安全运行，降低运行风险，防范隐患的发生，解决增值税征管中的信息不对称等问题。</w:t>
      </w:r>
      <w:r>
        <w:rPr>
          <w:rFonts w:hint="eastAsia" w:ascii="仿宋" w:hAnsi="仿宋" w:eastAsia="仿宋" w:cs="仿宋"/>
          <w:sz w:val="32"/>
          <w:szCs w:val="32"/>
          <w:lang w:val="en-US" w:eastAsia="zh-CN"/>
        </w:rPr>
        <w:t>需要成立</w:t>
      </w:r>
      <w:r>
        <w:rPr>
          <w:rFonts w:hint="eastAsia" w:ascii="仿宋" w:hAnsi="仿宋" w:eastAsia="仿宋" w:cs="仿宋"/>
          <w:sz w:val="32"/>
          <w:szCs w:val="32"/>
        </w:rPr>
        <w:t>网络货运数据监管平台，该平台投入运行后将为强化网络货运试点企业的服务和监管提供有力的监管保障</w:t>
      </w:r>
      <w:r>
        <w:rPr>
          <w:rFonts w:hint="eastAsia" w:ascii="仿宋" w:hAnsi="仿宋" w:eastAsia="仿宋" w:cs="仿宋"/>
          <w:sz w:val="32"/>
          <w:szCs w:val="32"/>
          <w:lang w:eastAsia="zh-CN"/>
        </w:rPr>
        <w:t>，</w:t>
      </w:r>
      <w:r>
        <w:rPr>
          <w:rFonts w:hint="eastAsia" w:ascii="仿宋" w:hAnsi="仿宋" w:eastAsia="仿宋" w:cs="仿宋"/>
          <w:i w:val="0"/>
          <w:caps w:val="0"/>
          <w:color w:val="1A1A1A"/>
          <w:spacing w:val="0"/>
          <w:sz w:val="32"/>
          <w:szCs w:val="32"/>
          <w:u w:val="none"/>
          <w:shd w:val="clear" w:fill="FFFFFF"/>
        </w:rPr>
        <w:t>对</w:t>
      </w:r>
      <w:bookmarkStart w:id="0" w:name="_GoBack"/>
      <w:bookmarkEnd w:id="0"/>
      <w:r>
        <w:rPr>
          <w:rFonts w:hint="eastAsia" w:ascii="仿宋" w:hAnsi="仿宋" w:eastAsia="仿宋" w:cs="仿宋"/>
          <w:i w:val="0"/>
          <w:caps w:val="0"/>
          <w:color w:val="1A1A1A"/>
          <w:spacing w:val="0"/>
          <w:sz w:val="32"/>
          <w:szCs w:val="32"/>
          <w:u w:val="none"/>
          <w:shd w:val="clear" w:fill="FFFFFF"/>
        </w:rPr>
        <w:t>网络货运经营者有关承运车辆及驾驶员资质审核、货物装载及运输过程管控、信息记录保存及运单数据传输、税收缴纳、网络和信息安全，货车司机及货主权益保护、投诉举报，服务质量及评价管理等作了系统规定，合理界定了平台责任，规范平台经营行为</w:t>
      </w:r>
      <w:r>
        <w:rPr>
          <w:rFonts w:hint="eastAsia" w:ascii="仿宋" w:hAnsi="仿宋" w:eastAsia="仿宋" w:cs="仿宋"/>
          <w:sz w:val="32"/>
          <w:szCs w:val="32"/>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（一）关于监督检查</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i w:val="0"/>
          <w:caps w:val="0"/>
          <w:color w:val="1A1A1A"/>
          <w:spacing w:val="0"/>
          <w:sz w:val="32"/>
          <w:szCs w:val="32"/>
          <w:u w:val="none"/>
          <w:shd w:val="clear" w:fill="FFFFFF"/>
        </w:rPr>
        <w:t>县级以上负有道路运输监督管理职责的机构、同级税务部门应分别按照《道路运输条例》《税收征收管理法》等既有法律法规规章的要求，对网络货运经营者的违法违规行为进行查处。</w:t>
      </w:r>
      <w:r>
        <w:rPr>
          <w:rFonts w:hint="eastAsia" w:ascii="仿宋" w:hAnsi="仿宋" w:eastAsia="仿宋" w:cs="仿宋"/>
          <w:sz w:val="32"/>
          <w:szCs w:val="32"/>
        </w:rPr>
        <w:t>从事后监管向事前</w:t>
      </w:r>
      <w:r>
        <w:rPr>
          <w:rFonts w:hint="eastAsia" w:ascii="仿宋" w:hAnsi="仿宋" w:eastAsia="仿宋" w:cs="仿宋"/>
          <w:sz w:val="32"/>
          <w:szCs w:val="32"/>
          <w:lang w:val="en-US" w:eastAsia="zh-CN"/>
        </w:rPr>
        <w:t>监</w:t>
      </w:r>
      <w:r>
        <w:rPr>
          <w:rFonts w:hint="eastAsia" w:ascii="仿宋" w:hAnsi="仿宋" w:eastAsia="仿宋" w:cs="仿宋"/>
          <w:sz w:val="32"/>
          <w:szCs w:val="32"/>
        </w:rPr>
        <w:t>管转变，交通部从线下统计分析转变为线上实时监控，</w:t>
      </w:r>
      <w:r>
        <w:rPr>
          <w:rFonts w:hint="eastAsia" w:ascii="仿宋" w:hAnsi="仿宋" w:eastAsia="仿宋" w:cs="仿宋"/>
          <w:i w:val="0"/>
          <w:caps w:val="0"/>
          <w:color w:val="1A1A1A"/>
          <w:spacing w:val="0"/>
          <w:sz w:val="32"/>
          <w:szCs w:val="32"/>
          <w:u w:val="none"/>
          <w:shd w:val="clear" w:fill="FFFFFF"/>
        </w:rPr>
        <w:t>对网络货运运输安全、权益保护和服务质量等有关管理工作职责，</w:t>
      </w:r>
      <w:r>
        <w:rPr>
          <w:rFonts w:hint="eastAsia" w:ascii="仿宋" w:hAnsi="仿宋" w:eastAsia="仿宋" w:cs="仿宋"/>
          <w:sz w:val="32"/>
          <w:szCs w:val="32"/>
        </w:rPr>
        <w:t>税务局从事后税务稽查转变为税前提前控票</w:t>
      </w:r>
      <w:r>
        <w:rPr>
          <w:rFonts w:hint="eastAsia" w:ascii="仿宋" w:hAnsi="仿宋" w:eastAsia="仿宋" w:cs="仿宋"/>
          <w:sz w:val="32"/>
          <w:szCs w:val="32"/>
          <w:lang w:eastAsia="zh-CN"/>
        </w:rPr>
        <w:t>，</w:t>
      </w:r>
      <w:r>
        <w:rPr>
          <w:rFonts w:hint="eastAsia" w:ascii="仿宋" w:hAnsi="仿宋" w:eastAsia="仿宋" w:cs="仿宋"/>
          <w:i w:val="0"/>
          <w:caps w:val="0"/>
          <w:color w:val="1A1A1A"/>
          <w:spacing w:val="0"/>
          <w:sz w:val="32"/>
          <w:szCs w:val="32"/>
          <w:u w:val="none"/>
          <w:shd w:val="clear" w:fill="FFFFFF"/>
        </w:rPr>
        <w:t>对网络货运经营者的税收征管工作职责;建立了网络货运运行监测管理制度及经营者信用评价机制，完善了信息共享及违法行为查处工作机制，充分利用行政处罚、联合惩戒、行业自律等手段，构建多元共治的监管格局</w:t>
      </w:r>
      <w:r>
        <w:rPr>
          <w:rFonts w:hint="eastAsia" w:ascii="仿宋" w:hAnsi="仿宋" w:eastAsia="仿宋" w:cs="仿宋"/>
          <w:i w:val="0"/>
          <w:caps w:val="0"/>
          <w:color w:val="1A1A1A"/>
          <w:spacing w:val="0"/>
          <w:sz w:val="32"/>
          <w:szCs w:val="32"/>
          <w:u w:val="none"/>
          <w:shd w:val="clear" w:fill="FFFFFF"/>
          <w:lang w:eastAsia="zh-CN"/>
        </w:rPr>
        <w:t>，</w:t>
      </w:r>
      <w:r>
        <w:rPr>
          <w:rFonts w:hint="eastAsia" w:ascii="仿宋" w:hAnsi="仿宋" w:eastAsia="仿宋" w:cs="仿宋"/>
          <w:sz w:val="32"/>
          <w:szCs w:val="32"/>
        </w:rPr>
        <w:t>堵住</w:t>
      </w:r>
      <w:r>
        <w:rPr>
          <w:rFonts w:hint="eastAsia" w:ascii="仿宋" w:hAnsi="仿宋" w:eastAsia="仿宋" w:cs="仿宋"/>
          <w:color w:val="000000"/>
          <w:kern w:val="0"/>
          <w:sz w:val="32"/>
          <w:szCs w:val="32"/>
          <w:shd w:val="clear" w:color="auto" w:fill="FFFFFF"/>
        </w:rPr>
        <w:t>企业违法违规及数据造假等行为。</w:t>
      </w:r>
    </w:p>
    <w:p>
      <w:pPr>
        <w:pStyle w:val="7"/>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i w:val="0"/>
          <w:caps w:val="0"/>
          <w:color w:val="1A1A1A"/>
          <w:spacing w:val="0"/>
          <w:sz w:val="32"/>
          <w:szCs w:val="32"/>
          <w:u w:val="none"/>
          <w:shd w:val="clear" w:fill="FFFFFF"/>
        </w:rPr>
      </w:pPr>
      <w:r>
        <w:rPr>
          <w:rFonts w:hint="eastAsia" w:ascii="仿宋" w:hAnsi="仿宋" w:eastAsia="仿宋" w:cs="仿宋"/>
          <w:i w:val="0"/>
          <w:caps w:val="0"/>
          <w:color w:val="1A1A1A"/>
          <w:spacing w:val="0"/>
          <w:sz w:val="32"/>
          <w:szCs w:val="32"/>
          <w:u w:val="none"/>
          <w:shd w:val="clear" w:fill="FFFFFF"/>
        </w:rPr>
        <w:t>创新监管方式</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i w:val="0"/>
          <w:caps w:val="0"/>
          <w:color w:val="1A1A1A"/>
          <w:spacing w:val="0"/>
          <w:sz w:val="32"/>
          <w:szCs w:val="32"/>
          <w:u w:val="none"/>
          <w:shd w:val="clear" w:fill="FFFFFF"/>
        </w:rPr>
      </w:pPr>
      <w:r>
        <w:rPr>
          <w:rFonts w:hint="eastAsia" w:ascii="仿宋" w:hAnsi="仿宋" w:eastAsia="仿宋" w:cs="仿宋"/>
          <w:i w:val="0"/>
          <w:caps w:val="0"/>
          <w:color w:val="1A1A1A"/>
          <w:spacing w:val="0"/>
          <w:sz w:val="32"/>
          <w:szCs w:val="32"/>
          <w:u w:val="none"/>
          <w:shd w:val="clear" w:fill="FFFFFF"/>
        </w:rPr>
        <w:t>交通运输部利用信息化手段加强对网络货运经营者运输行为的监测监管，</w:t>
      </w:r>
      <w:r>
        <w:rPr>
          <w:rFonts w:hint="eastAsia" w:ascii="仿宋" w:hAnsi="仿宋" w:eastAsia="仿宋" w:cs="仿宋"/>
          <w:i w:val="0"/>
          <w:caps w:val="0"/>
          <w:color w:val="1A1A1A"/>
          <w:spacing w:val="0"/>
          <w:sz w:val="32"/>
          <w:szCs w:val="32"/>
          <w:u w:val="none"/>
          <w:shd w:val="clear" w:fill="FFFFFF"/>
          <w:lang w:val="en-US" w:eastAsia="zh-CN"/>
        </w:rPr>
        <w:t>并</w:t>
      </w:r>
      <w:r>
        <w:rPr>
          <w:rFonts w:hint="eastAsia" w:ascii="仿宋" w:hAnsi="仿宋" w:eastAsia="仿宋" w:cs="仿宋"/>
          <w:i w:val="0"/>
          <w:caps w:val="0"/>
          <w:color w:val="1A1A1A"/>
          <w:spacing w:val="0"/>
          <w:sz w:val="32"/>
          <w:szCs w:val="32"/>
          <w:u w:val="none"/>
          <w:shd w:val="clear" w:fill="FFFFFF"/>
        </w:rPr>
        <w:t>将在无车承运人试点运行监测系统的基础上，建设网络货运信息交互系统，通过电子运单相关信息的核查校验，对全国网络货运运行情况进行监测分析和综合评估，探索基于监测结果的信用评价机制，实行差异化管理。</w:t>
      </w:r>
    </w:p>
    <w:p>
      <w:pPr>
        <w:pStyle w:val="7"/>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仿宋" w:hAnsi="仿宋" w:eastAsia="仿宋" w:cs="仿宋"/>
          <w:i w:val="0"/>
          <w:caps w:val="0"/>
          <w:color w:val="1A1A1A"/>
          <w:spacing w:val="0"/>
          <w:sz w:val="32"/>
          <w:szCs w:val="32"/>
          <w:u w:val="none"/>
          <w:shd w:val="clear" w:fill="FFFFFF"/>
        </w:rPr>
      </w:pPr>
      <w:r>
        <w:rPr>
          <w:rFonts w:hint="eastAsia" w:ascii="仿宋" w:hAnsi="仿宋" w:eastAsia="仿宋" w:cs="仿宋"/>
          <w:i w:val="0"/>
          <w:caps w:val="0"/>
          <w:color w:val="1A1A1A"/>
          <w:spacing w:val="0"/>
          <w:sz w:val="32"/>
          <w:szCs w:val="32"/>
          <w:u w:val="none"/>
          <w:shd w:val="clear" w:fill="FFFFFF"/>
        </w:rPr>
        <w:t>实施联合惩戒。</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i w:val="0"/>
          <w:caps w:val="0"/>
          <w:color w:val="1A1A1A"/>
          <w:spacing w:val="0"/>
          <w:sz w:val="32"/>
          <w:szCs w:val="32"/>
          <w:u w:val="none"/>
          <w:shd w:val="clear" w:fill="FFFFFF"/>
          <w:lang w:val="en-US" w:eastAsia="zh-CN"/>
        </w:rPr>
      </w:pPr>
      <w:r>
        <w:rPr>
          <w:rFonts w:hint="eastAsia" w:ascii="仿宋" w:hAnsi="仿宋" w:eastAsia="仿宋" w:cs="仿宋"/>
          <w:i w:val="0"/>
          <w:caps w:val="0"/>
          <w:color w:val="1A1A1A"/>
          <w:spacing w:val="0"/>
          <w:sz w:val="32"/>
          <w:szCs w:val="32"/>
          <w:u w:val="none"/>
          <w:shd w:val="clear" w:fill="FFFFFF"/>
        </w:rPr>
        <w:t>将联合惩戒作为网络货运监管的重要手段之一，委托不具备资质的实际承运人从事运输、承运国家法律法规规章禁止运输的货物、指使强令实际承运人超限超载运输货物等行为，将纳入道路货物运输失信联合惩戒对象名单，实施联合惩戒。</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三、陕西榆林</w:t>
      </w:r>
      <w:r>
        <w:rPr>
          <w:rFonts w:hint="eastAsia" w:ascii="楷体" w:hAnsi="楷体" w:eastAsia="楷体" w:cs="楷体"/>
          <w:b/>
          <w:bCs/>
          <w:sz w:val="32"/>
          <w:szCs w:val="32"/>
        </w:rPr>
        <w:t>物流产业数字经济平台</w:t>
      </w:r>
      <w:r>
        <w:rPr>
          <w:rFonts w:hint="eastAsia" w:ascii="楷体" w:hAnsi="楷体" w:eastAsia="楷体" w:cs="楷体"/>
          <w:b/>
          <w:bCs/>
          <w:sz w:val="32"/>
          <w:szCs w:val="32"/>
          <w:lang w:val="en-US" w:eastAsia="zh-CN"/>
        </w:rPr>
        <w:t>的</w:t>
      </w:r>
      <w:r>
        <w:rPr>
          <w:rFonts w:hint="eastAsia" w:ascii="楷体" w:hAnsi="楷体" w:eastAsia="楷体" w:cs="楷体"/>
          <w:b/>
          <w:bCs/>
          <w:sz w:val="32"/>
          <w:szCs w:val="32"/>
        </w:rPr>
        <w:t>目的与意义</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i w:val="0"/>
          <w:caps w:val="0"/>
          <w:color w:val="2B2B2B"/>
          <w:spacing w:val="0"/>
          <w:sz w:val="32"/>
          <w:szCs w:val="32"/>
          <w:u w:val="none"/>
          <w:shd w:val="clear" w:fill="FFFFFF"/>
        </w:rPr>
        <w:t>榆林市作为中国煤炭能源化工最具发展潜力、最具竞争优势的产业高地和能源化工物流枢纽基地，作为全国重点煤炭产业基地，目前已经具有辐射全国的煤炭物流服务网络，并初步形成了围绕经济发展而构成的物流服务体系，对于推动榆林物流业发展起到非常大的支撑作用。</w:t>
      </w:r>
      <w:r>
        <w:rPr>
          <w:rFonts w:hint="eastAsia" w:ascii="仿宋" w:hAnsi="仿宋" w:eastAsia="仿宋" w:cs="仿宋"/>
          <w:i w:val="0"/>
          <w:caps w:val="0"/>
          <w:color w:val="2B2B2B"/>
          <w:spacing w:val="0"/>
          <w:sz w:val="32"/>
          <w:szCs w:val="32"/>
          <w:u w:val="none"/>
          <w:shd w:val="clear" w:fill="FFFFFF"/>
          <w:lang w:val="en-US" w:eastAsia="zh-CN"/>
        </w:rPr>
        <w:t>物流产业数字平台</w:t>
      </w:r>
      <w:r>
        <w:rPr>
          <w:rFonts w:hint="eastAsia" w:ascii="仿宋" w:hAnsi="仿宋" w:eastAsia="仿宋" w:cs="仿宋"/>
          <w:i w:val="0"/>
          <w:caps w:val="0"/>
          <w:color w:val="2B2B2B"/>
          <w:spacing w:val="0"/>
          <w:sz w:val="32"/>
          <w:szCs w:val="32"/>
          <w:u w:val="none"/>
          <w:shd w:val="clear" w:fill="FFFFFF"/>
        </w:rPr>
        <w:t>立足于本地优势产业和优势资源，打造主导产业中核心企业和节点企业的协同发展良性循环，完成区域经济产业聚集，推动产业向上下游延伸，带动物流服务需求增大，达到区域经济与区域物流的协同发展。增强榆林市物流需求的增长，提升物流需求服务水平。</w:t>
      </w:r>
      <w:r>
        <w:rPr>
          <w:rFonts w:hint="eastAsia" w:ascii="仿宋" w:hAnsi="仿宋" w:eastAsia="仿宋" w:cs="仿宋"/>
          <w:i w:val="0"/>
          <w:caps w:val="0"/>
          <w:color w:val="2B2B2B"/>
          <w:spacing w:val="0"/>
          <w:sz w:val="32"/>
          <w:szCs w:val="32"/>
          <w:u w:val="none"/>
          <w:shd w:val="clear" w:fill="FFFFFF"/>
          <w:lang w:val="en-US" w:eastAsia="zh-CN"/>
        </w:rPr>
        <w:t>物流产业数字平台</w:t>
      </w:r>
      <w:r>
        <w:rPr>
          <w:rFonts w:hint="eastAsia" w:ascii="仿宋" w:hAnsi="仿宋" w:eastAsia="仿宋" w:cs="仿宋"/>
          <w:b w:val="0"/>
          <w:bCs w:val="0"/>
          <w:sz w:val="32"/>
          <w:szCs w:val="32"/>
        </w:rPr>
        <w:t>为政府主管部门服务</w:t>
      </w:r>
      <w:r>
        <w:rPr>
          <w:rFonts w:hint="default" w:ascii="仿宋" w:hAnsi="仿宋" w:eastAsia="仿宋" w:cs="仿宋"/>
          <w:b w:val="0"/>
          <w:bCs w:val="0"/>
          <w:sz w:val="32"/>
          <w:szCs w:val="32"/>
        </w:rPr>
        <w:t>，</w:t>
      </w:r>
      <w:r>
        <w:rPr>
          <w:rFonts w:hint="eastAsia" w:ascii="仿宋" w:hAnsi="仿宋" w:eastAsia="仿宋" w:cs="仿宋"/>
          <w:b w:val="0"/>
          <w:bCs w:val="0"/>
          <w:sz w:val="32"/>
          <w:szCs w:val="32"/>
        </w:rPr>
        <w:t>网络货运行业提供强有力的信息化抓手</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创建具有新价值的服务，进一步实现了政府信息共享，便捷了交通运输部统一管理，</w:t>
      </w:r>
      <w:r>
        <w:rPr>
          <w:rFonts w:hint="eastAsia" w:ascii="仿宋" w:hAnsi="仿宋" w:eastAsia="仿宋" w:cs="仿宋"/>
          <w:b w:val="0"/>
          <w:bCs w:val="0"/>
          <w:sz w:val="32"/>
          <w:szCs w:val="32"/>
        </w:rPr>
        <w:t>协助政府税务部门落实并完善针对网络货运行业的监管职能</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打造数字经济时代政府主管部门促进行业数字化转型的样板</w:t>
      </w:r>
      <w:r>
        <w:rPr>
          <w:rFonts w:hint="eastAsia" w:ascii="仿宋" w:hAnsi="仿宋" w:eastAsia="仿宋" w:cs="仿宋"/>
          <w:b w:val="0"/>
          <w:bCs w:val="0"/>
          <w:sz w:val="32"/>
          <w:szCs w:val="32"/>
          <w:lang w:eastAsia="zh-CN"/>
        </w:rPr>
        <w:t>。</w:t>
      </w:r>
    </w:p>
    <w:p>
      <w:pPr>
        <w:pStyle w:val="10"/>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eastAsia="zh-CN"/>
        </w:rPr>
      </w:pPr>
      <w:r>
        <w:rPr>
          <w:rFonts w:hint="default" w:ascii="仿宋" w:hAnsi="仿宋" w:eastAsia="仿宋" w:cs="仿宋"/>
          <w:b w:val="0"/>
          <w:bCs w:val="0"/>
          <w:sz w:val="32"/>
          <w:szCs w:val="32"/>
          <w:lang w:eastAsia="zh-CN"/>
        </w:rPr>
        <w:t>为政府服务</w:t>
      </w:r>
    </w:p>
    <w:p>
      <w:pPr>
        <w:pStyle w:val="10"/>
        <w:keepNext w:val="0"/>
        <w:keepLines w:val="0"/>
        <w:pageBreakBefore w:val="0"/>
        <w:numPr>
          <w:numId w:val="0"/>
        </w:numPr>
        <w:kinsoku/>
        <w:wordWrap/>
        <w:overflowPunct/>
        <w:topLinePunct w:val="0"/>
        <w:autoSpaceDE/>
        <w:autoSpaceDN/>
        <w:bidi w:val="0"/>
        <w:adjustRightInd/>
        <w:snapToGrid/>
        <w:spacing w:line="560" w:lineRule="exact"/>
        <w:ind w:leftChars="200"/>
        <w:jc w:val="both"/>
        <w:textAlignment w:val="auto"/>
        <w:rPr>
          <w:rFonts w:hint="default" w:ascii="仿宋" w:hAnsi="仿宋" w:eastAsia="仿宋" w:cs="仿宋"/>
          <w:b w:val="0"/>
          <w:bCs w:val="0"/>
          <w:sz w:val="32"/>
          <w:szCs w:val="32"/>
          <w:lang w:eastAsia="zh-CN"/>
        </w:rPr>
      </w:pPr>
      <w:r>
        <w:rPr>
          <w:rFonts w:hint="default" w:ascii="仿宋" w:hAnsi="仿宋" w:eastAsia="仿宋" w:cs="仿宋"/>
          <w:b w:val="0"/>
          <w:bCs w:val="0"/>
          <w:sz w:val="32"/>
          <w:szCs w:val="32"/>
          <w:lang w:eastAsia="zh-CN"/>
        </w:rPr>
        <w:t>数据展示，数据分析</w:t>
      </w:r>
    </w:p>
    <w:p>
      <w:pPr>
        <w:pStyle w:val="10"/>
        <w:keepNext w:val="0"/>
        <w:keepLines w:val="0"/>
        <w:pageBreakBefore w:val="0"/>
        <w:numPr>
          <w:numId w:val="0"/>
        </w:numPr>
        <w:kinsoku/>
        <w:wordWrap/>
        <w:overflowPunct/>
        <w:topLinePunct w:val="0"/>
        <w:autoSpaceDE/>
        <w:autoSpaceDN/>
        <w:bidi w:val="0"/>
        <w:adjustRightInd/>
        <w:snapToGrid/>
        <w:spacing w:line="560" w:lineRule="exact"/>
        <w:ind w:leftChars="200"/>
        <w:jc w:val="both"/>
        <w:textAlignment w:val="auto"/>
        <w:rPr>
          <w:rFonts w:hint="default" w:ascii="仿宋" w:hAnsi="仿宋" w:eastAsia="仿宋" w:cs="仿宋"/>
          <w:b w:val="0"/>
          <w:bCs w:val="0"/>
          <w:sz w:val="32"/>
          <w:szCs w:val="32"/>
          <w:lang w:eastAsia="zh-CN"/>
        </w:rPr>
      </w:pPr>
      <w:r>
        <w:rPr>
          <w:rFonts w:hint="default" w:ascii="仿宋" w:hAnsi="仿宋" w:eastAsia="仿宋" w:cs="仿宋"/>
          <w:b w:val="0"/>
          <w:bCs w:val="0"/>
          <w:sz w:val="32"/>
          <w:szCs w:val="32"/>
          <w:lang w:eastAsia="zh-CN"/>
        </w:rPr>
        <w:t>行业监管，</w:t>
      </w:r>
    </w:p>
    <w:p>
      <w:pPr>
        <w:pStyle w:val="10"/>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eastAsia="zh-CN"/>
        </w:rPr>
      </w:pPr>
      <w:r>
        <w:rPr>
          <w:rFonts w:hint="default" w:ascii="仿宋" w:hAnsi="仿宋" w:eastAsia="仿宋" w:cs="仿宋"/>
          <w:b w:val="0"/>
          <w:bCs w:val="0"/>
          <w:sz w:val="32"/>
          <w:szCs w:val="32"/>
          <w:lang w:eastAsia="zh-CN"/>
        </w:rPr>
        <w:t>为企业提供</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四</w:t>
      </w:r>
      <w:r>
        <w:rPr>
          <w:rFonts w:hint="eastAsia" w:ascii="楷体" w:hAnsi="楷体" w:eastAsia="楷体" w:cs="楷体"/>
          <w:b/>
          <w:bCs/>
          <w:sz w:val="32"/>
          <w:szCs w:val="32"/>
        </w:rPr>
        <w:t>、物流产业数字经济平台后市场核心功能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陕西榆林作为西北地区的能源经济重地，在物流产业领域的行业集中度、物流行业配套服务等都具有得天独厚的优势，得益于绥德县无车承运的大力发展，也为网络货运新时代下榆林紧跟全国物流产业转型升级趋势打下了坚实的基础。</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pStyle w:val="10"/>
        <w:keepNext w:val="0"/>
        <w:keepLines w:val="0"/>
        <w:pageBreakBefore w:val="0"/>
        <w:kinsoku/>
        <w:wordWrap/>
        <w:overflowPunct/>
        <w:topLinePunct w:val="0"/>
        <w:autoSpaceDE/>
        <w:autoSpaceDN/>
        <w:bidi w:val="0"/>
        <w:adjustRightInd/>
        <w:snapToGrid/>
        <w:spacing w:line="560" w:lineRule="exact"/>
        <w:ind w:left="72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 物流产业数字经济平台核心功能架构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ind w:firstLine="480" w:firstLineChars="200"/>
        <w:jc w:val="both"/>
        <w:textAlignment w:val="auto"/>
        <w:rPr>
          <w:rFonts w:hint="eastAsia" w:ascii="微软雅黑" w:hAnsi="微软雅黑" w:eastAsia="微软雅黑"/>
          <w:sz w:val="24"/>
          <w:lang w:eastAsia="zh-CN"/>
        </w:rPr>
      </w:pPr>
      <w:r>
        <w:rPr>
          <w:rFonts w:hint="eastAsia" w:ascii="微软雅黑" w:hAnsi="微软雅黑" w:eastAsia="微软雅黑"/>
          <w:sz w:val="24"/>
          <w:lang w:eastAsia="zh-CN"/>
        </w:rPr>
        <w:drawing>
          <wp:inline distT="0" distB="0" distL="114300" distR="114300">
            <wp:extent cx="5954395" cy="3255010"/>
            <wp:effectExtent l="0" t="0" r="8255" b="2540"/>
            <wp:docPr id="2" name="图片 2" descr="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11"/>
                    <pic:cNvPicPr>
                      <a:picLocks noChangeAspect="1"/>
                    </pic:cNvPicPr>
                  </pic:nvPicPr>
                  <pic:blipFill>
                    <a:blip r:embed="rId5"/>
                    <a:stretch>
                      <a:fillRect/>
                    </a:stretch>
                  </pic:blipFill>
                  <pic:spPr>
                    <a:xfrm>
                      <a:off x="0" y="0"/>
                      <a:ext cx="5954395" cy="3255010"/>
                    </a:xfrm>
                    <a:prstGeom prst="rect">
                      <a:avLst/>
                    </a:prstGeom>
                  </pic:spPr>
                </pic:pic>
              </a:graphicData>
            </a:graphic>
          </wp:inline>
        </w:drawing>
      </w:r>
    </w:p>
    <w:p>
      <w:pPr>
        <w:pStyle w:val="10"/>
        <w:keepNext w:val="0"/>
        <w:keepLines w:val="0"/>
        <w:pageBreakBefore w:val="0"/>
        <w:kinsoku/>
        <w:wordWrap/>
        <w:overflowPunct/>
        <w:topLinePunct w:val="0"/>
        <w:autoSpaceDE/>
        <w:autoSpaceDN/>
        <w:bidi w:val="0"/>
        <w:adjustRightInd/>
        <w:snapToGrid/>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2.系统功能</w:t>
      </w:r>
    </w:p>
    <w:p>
      <w:pPr>
        <w:pStyle w:val="7"/>
        <w:keepNext w:val="0"/>
        <w:keepLines w:val="0"/>
        <w:pageBreakBefore w:val="0"/>
        <w:kinsoku/>
        <w:wordWrap/>
        <w:overflowPunct/>
        <w:topLinePunct w:val="0"/>
        <w:autoSpaceDE/>
        <w:autoSpaceDN/>
        <w:bidi w:val="0"/>
        <w:adjustRightInd/>
        <w:snapToGrid/>
        <w:spacing w:before="0" w:beforeAutospacing="0" w:after="0" w:afterAutospacing="0" w:line="383" w:lineRule="atLeast"/>
        <w:ind w:firstLine="640" w:firstLineChars="200"/>
        <w:jc w:val="both"/>
        <w:textAlignment w:val="auto"/>
        <w:rPr>
          <w:rFonts w:hint="eastAsia" w:ascii="仿宋" w:hAnsi="仿宋" w:eastAsia="仿宋" w:cs="仿宋"/>
          <w:kern w:val="2"/>
          <w:sz w:val="32"/>
          <w:szCs w:val="32"/>
          <w:lang w:eastAsia="zh-CN"/>
        </w:rPr>
      </w:pPr>
      <w:r>
        <w:rPr>
          <w:rFonts w:hint="eastAsia" w:ascii="仿宋" w:hAnsi="仿宋" w:eastAsia="仿宋" w:cs="仿宋"/>
          <w:kern w:val="2"/>
          <w:sz w:val="32"/>
          <w:szCs w:val="32"/>
        </w:rPr>
        <w:t>该系统需要建设的功能包括数据交换、信息服务、运行监测、行业监管等模块，功能结构如下图</w:t>
      </w:r>
      <w:r>
        <w:rPr>
          <w:rFonts w:hint="eastAsia" w:ascii="仿宋" w:hAnsi="仿宋" w:eastAsia="仿宋" w:cs="仿宋"/>
          <w:kern w:val="2"/>
          <w:sz w:val="32"/>
          <w:szCs w:val="32"/>
          <w:lang w:eastAsia="zh-CN"/>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ind w:firstLine="480" w:firstLineChars="200"/>
        <w:jc w:val="both"/>
        <w:textAlignment w:val="auto"/>
        <w:rPr>
          <w:rFonts w:hint="eastAsia" w:ascii="微软雅黑" w:hAnsi="微软雅黑" w:eastAsia="微软雅黑"/>
          <w:sz w:val="24"/>
          <w:lang w:eastAsia="zh-CN"/>
        </w:rPr>
      </w:pPr>
      <w:r>
        <w:rPr>
          <w:rFonts w:hint="eastAsia" w:ascii="微软雅黑" w:hAnsi="微软雅黑" w:eastAsia="微软雅黑"/>
          <w:sz w:val="24"/>
          <w:lang w:eastAsia="zh-CN"/>
        </w:rPr>
        <w:drawing>
          <wp:inline distT="0" distB="0" distL="114300" distR="114300">
            <wp:extent cx="6115050" cy="8649970"/>
            <wp:effectExtent l="0" t="0" r="0" b="17780"/>
            <wp:docPr id="3" name="图片 3" descr="Doc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oc1_01"/>
                    <pic:cNvPicPr>
                      <a:picLocks noChangeAspect="1"/>
                    </pic:cNvPicPr>
                  </pic:nvPicPr>
                  <pic:blipFill>
                    <a:blip r:embed="rId6"/>
                    <a:stretch>
                      <a:fillRect/>
                    </a:stretch>
                  </pic:blipFill>
                  <pic:spPr>
                    <a:xfrm>
                      <a:off x="0" y="0"/>
                      <a:ext cx="6115050" cy="864997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both"/>
        <w:textAlignment w:val="auto"/>
        <w:rPr>
          <w:rFonts w:hint="eastAsia" w:ascii="微软雅黑" w:hAnsi="微软雅黑" w:eastAsia="微软雅黑"/>
          <w:sz w:val="24"/>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rPr>
        <w:t>（1）数据交换</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firstLine="640" w:firstLineChars="200"/>
        <w:jc w:val="both"/>
        <w:textAlignment w:val="auto"/>
        <w:rPr>
          <w:rFonts w:hint="eastAsia" w:ascii="仿宋" w:hAnsi="仿宋" w:eastAsia="仿宋" w:cs="仿宋"/>
          <w:color w:val="333333"/>
          <w:spacing w:val="8"/>
          <w:sz w:val="32"/>
          <w:szCs w:val="32"/>
        </w:rPr>
      </w:pPr>
      <w:r>
        <w:rPr>
          <w:rFonts w:hint="default" w:ascii="Calibri" w:hAnsi="Calibri" w:eastAsia="仿宋" w:cs="Calibri"/>
          <w:kern w:val="2"/>
          <w:sz w:val="32"/>
          <w:szCs w:val="32"/>
        </w:rPr>
        <w:t>①</w:t>
      </w:r>
      <w:r>
        <w:rPr>
          <w:rFonts w:hint="eastAsia" w:ascii="仿宋" w:hAnsi="仿宋" w:eastAsia="仿宋" w:cs="仿宋"/>
          <w:kern w:val="2"/>
          <w:sz w:val="32"/>
          <w:szCs w:val="32"/>
        </w:rPr>
        <w:t>网络货运经营者数据接入</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为网络货运经营者提供运单、资金流水单、车辆及驾驶员基本信息、驾驶员位置信息接入接口服务。网络货运经营者根据《部网络货运信息交互系统接入指南》（以下简称《接入指南》）要求，实时上传运单、资金流水单、车辆及驾驶员基本信息、驾驶员位置信息至物流产业数字经济平台。</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firstLine="640" w:firstLineChars="200"/>
        <w:jc w:val="both"/>
        <w:textAlignment w:val="auto"/>
        <w:rPr>
          <w:rFonts w:hint="eastAsia" w:ascii="仿宋" w:hAnsi="仿宋" w:eastAsia="仿宋" w:cs="仿宋"/>
          <w:color w:val="333333"/>
          <w:spacing w:val="8"/>
          <w:sz w:val="32"/>
          <w:szCs w:val="32"/>
        </w:rPr>
      </w:pPr>
      <w:r>
        <w:rPr>
          <w:rFonts w:hint="default" w:ascii="Calibri" w:hAnsi="Calibri" w:eastAsia="仿宋" w:cs="Calibri"/>
          <w:kern w:val="2"/>
          <w:sz w:val="32"/>
          <w:szCs w:val="32"/>
        </w:rPr>
        <w:t>②</w:t>
      </w:r>
      <w:r>
        <w:rPr>
          <w:rFonts w:hint="eastAsia" w:ascii="仿宋" w:hAnsi="仿宋" w:eastAsia="仿宋" w:cs="仿宋"/>
          <w:kern w:val="2"/>
          <w:sz w:val="32"/>
          <w:szCs w:val="32"/>
        </w:rPr>
        <w:t>向省级信息系统上传数据</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物流产业数字经济平台接收到网络货运经营者上传的运单数据后，根据《接入指南》要求，及时上传运单、资金流水单、车辆及驾驶员基本信息、驾驶员位置信息至部交互系统。</w:t>
      </w:r>
    </w:p>
    <w:p>
      <w:pPr>
        <w:pStyle w:val="7"/>
        <w:keepNext w:val="0"/>
        <w:keepLines w:val="0"/>
        <w:pageBreakBefore w:val="0"/>
        <w:numPr>
          <w:ilvl w:val="0"/>
          <w:numId w:val="0"/>
        </w:numPr>
        <w:tabs>
          <w:tab w:val="left" w:pos="1630"/>
        </w:tabs>
        <w:kinsoku/>
        <w:wordWrap/>
        <w:overflowPunct/>
        <w:topLinePunct w:val="0"/>
        <w:autoSpaceDE/>
        <w:autoSpaceDN/>
        <w:bidi w:val="0"/>
        <w:adjustRightInd/>
        <w:snapToGrid/>
        <w:spacing w:before="0" w:beforeAutospacing="0" w:after="0" w:afterAutospacing="0" w:line="560" w:lineRule="exact"/>
        <w:ind w:leftChars="200" w:firstLine="640" w:firstLineChars="200"/>
        <w:jc w:val="both"/>
        <w:textAlignment w:val="auto"/>
        <w:rPr>
          <w:rFonts w:hint="eastAsia" w:ascii="仿宋" w:hAnsi="仿宋" w:eastAsia="仿宋" w:cs="仿宋"/>
          <w:kern w:val="2"/>
          <w:sz w:val="32"/>
          <w:szCs w:val="32"/>
        </w:rPr>
      </w:pPr>
      <w:r>
        <w:rPr>
          <w:rFonts w:hint="default" w:ascii="Calibri" w:hAnsi="Calibri" w:eastAsia="仿宋" w:cs="Calibri"/>
          <w:kern w:val="2"/>
          <w:sz w:val="32"/>
          <w:szCs w:val="32"/>
        </w:rPr>
        <w:t>③</w:t>
      </w:r>
      <w:r>
        <w:rPr>
          <w:rFonts w:hint="eastAsia" w:ascii="仿宋" w:hAnsi="仿宋" w:eastAsia="仿宋" w:cs="仿宋"/>
          <w:kern w:val="2"/>
          <w:sz w:val="32"/>
          <w:szCs w:val="32"/>
        </w:rPr>
        <w:t>第三方平台对接。</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物流产业数字经济平台建立接口，实现与省级道路运政管理信息系统、全国道路货运车辆公共监管与服务平台、税务保险信息系统的对接。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rPr>
        <w:t>（2）信息服务</w:t>
      </w:r>
    </w:p>
    <w:p>
      <w:pPr>
        <w:pStyle w:val="7"/>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服务对象：物流行业主管部门和网络货运经营者；</w:t>
      </w:r>
    </w:p>
    <w:p>
      <w:pPr>
        <w:pStyle w:val="7"/>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网络货运经营者信息（主管部门可见）：企业名称、统一社会信用代码、道路运输经营许可证号、法人代表、联系人、联系电话、运营数据；</w:t>
      </w:r>
    </w:p>
    <w:p>
      <w:pPr>
        <w:pStyle w:val="7"/>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车辆信息（均可见，共享）：车辆牌照号、车牌颜色、车辆道路运输证号、核定载质量、车辆失信情况等。</w:t>
      </w:r>
    </w:p>
    <w:p>
      <w:pPr>
        <w:pStyle w:val="7"/>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驾驶员信息（均可见，共享）：姓名、身份证号、联系方式、从业人员资格证号、机动车驾驶证号、准驾车型、行业征信情况等；</w:t>
      </w:r>
    </w:p>
    <w:p>
      <w:pPr>
        <w:pStyle w:val="7"/>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异常信息（主管部门可见）：网络货运企业，上传的相关单据接入异常、资质异常、车辆入网异常、运输轨迹异常、运单与资金流水单匹配异常、运单重复等；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rPr>
        <w:t>（3）运行监测。</w:t>
      </w:r>
    </w:p>
    <w:p>
      <w:pPr>
        <w:pStyle w:val="7"/>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pacing w:val="8"/>
          <w:sz w:val="32"/>
          <w:szCs w:val="32"/>
        </w:rPr>
      </w:pPr>
      <w:r>
        <w:rPr>
          <w:rFonts w:hint="eastAsia" w:ascii="仿宋" w:hAnsi="仿宋" w:eastAsia="仿宋" w:cs="仿宋"/>
          <w:kern w:val="2"/>
          <w:sz w:val="32"/>
          <w:szCs w:val="32"/>
        </w:rPr>
        <w:t>综合考核统计排名：建立考核指标体系，对网络货运经营者进行综合考核统计排名；</w:t>
      </w:r>
    </w:p>
    <w:p>
      <w:pPr>
        <w:pStyle w:val="7"/>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业务规模统计：网络货运经营者整合运力数据、完成运单数据、运输量总数据及周转数据、运费总额数据等；</w:t>
      </w:r>
    </w:p>
    <w:p>
      <w:pPr>
        <w:pStyle w:val="7"/>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物流经济信息查询：线路信息查询、货量信息查询、车辆数查询、行车公里数查询、线路运价查询。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rPr>
        <w:t>（4）行业监管</w:t>
      </w:r>
    </w:p>
    <w:p>
      <w:pPr>
        <w:pStyle w:val="7"/>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联调测试：物流产业数字经济平台应与网络货运申请者信息平台实现对接，并进行联调测试。</w:t>
      </w:r>
    </w:p>
    <w:p>
      <w:pPr>
        <w:pStyle w:val="7"/>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接入认证：物流产业数字经济平台需对网络货运申请者提交的道路运输经营许可证进行认证，分配接入账号。</w:t>
      </w:r>
    </w:p>
    <w:p>
      <w:pPr>
        <w:pStyle w:val="7"/>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预警信息：物流产业数字经济平台根据监测数据设置科学合理的监测结果异常阈值，当网络货运经营者监测异常率超过阈值时，系统自动预警，并随时通过手机对经营者实时自动提示。</w:t>
      </w:r>
    </w:p>
    <w:p>
      <w:pPr>
        <w:pStyle w:val="7"/>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申诉信息上传：网络货运经营者出现资质异常的，可通过互联网道路运输便民政务服务系统或12328交通运输服务监督电话移动客户端提出申诉，物流产业数字经济平台在资质异常出现后的30天内，对资质异常信息再次比对，更新相关异常统计数据。</w:t>
      </w:r>
    </w:p>
    <w:p>
      <w:pPr>
        <w:pStyle w:val="7"/>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rPr>
      </w:pPr>
      <w:r>
        <w:rPr>
          <w:rFonts w:hint="eastAsia" w:ascii="仿宋" w:hAnsi="仿宋" w:eastAsia="仿宋" w:cs="仿宋"/>
          <w:kern w:val="2"/>
          <w:sz w:val="32"/>
          <w:szCs w:val="32"/>
        </w:rPr>
        <w:t>预警信息跟踪处理：县级负有道路运输监督管理职责的机构，对产生预警信息的网络货运经营者进行监管，经评估为操作失误可督促其及时整改，使网络货运经营者减少因失误二造成的违规行为。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lang w:val="en-US" w:eastAsia="zh-CN"/>
        </w:rPr>
        <w:t>五、</w:t>
      </w:r>
      <w:r>
        <w:rPr>
          <w:rFonts w:hint="eastAsia" w:ascii="楷体" w:hAnsi="楷体" w:eastAsia="楷体" w:cs="楷体"/>
          <w:b/>
          <w:bCs/>
          <w:color w:val="auto"/>
          <w:sz w:val="32"/>
          <w:szCs w:val="32"/>
        </w:rPr>
        <w:t>物流产业数字经济平台后市场建设计划</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1"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第一阶段</w:t>
      </w:r>
      <w:r>
        <w:rPr>
          <w:rFonts w:hint="eastAsia" w:ascii="仿宋" w:hAnsi="仿宋" w:eastAsia="仿宋" w:cs="仿宋"/>
          <w:sz w:val="32"/>
          <w:szCs w:val="32"/>
        </w:rPr>
        <w:t>：2020年完成西北地区物流数据中心及贸易数据中心的基础建设，团队建设（政务服务、研发、运营、客服等其他部门），平台数据分析；</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1"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第二阶段</w:t>
      </w:r>
      <w:r>
        <w:rPr>
          <w:rFonts w:hint="eastAsia" w:ascii="仿宋" w:hAnsi="仿宋" w:eastAsia="仿宋" w:cs="仿宋"/>
          <w:sz w:val="32"/>
          <w:szCs w:val="32"/>
        </w:rPr>
        <w:t>：2021年整体</w:t>
      </w:r>
      <w:r>
        <w:rPr>
          <w:rFonts w:hint="eastAsia" w:ascii="仿宋" w:hAnsi="仿宋" w:eastAsia="仿宋" w:cs="仿宋"/>
          <w:color w:val="auto"/>
          <w:sz w:val="32"/>
          <w:szCs w:val="32"/>
        </w:rPr>
        <w:t>数字经济平台全面</w:t>
      </w:r>
      <w:r>
        <w:rPr>
          <w:rFonts w:hint="eastAsia" w:ascii="仿宋" w:hAnsi="仿宋" w:eastAsia="仿宋" w:cs="仿宋"/>
          <w:sz w:val="32"/>
          <w:szCs w:val="32"/>
        </w:rPr>
        <w:t>运行上线，物流生态链技术研发中心（软件、硬件），物流金融服务中心，平台数据分析两倍以上递增。</w:t>
      </w:r>
    </w:p>
    <w:p>
      <w:pPr>
        <w:keepNext w:val="0"/>
        <w:keepLines w:val="0"/>
        <w:pageBreakBefore w:val="0"/>
        <w:kinsoku/>
        <w:wordWrap/>
        <w:overflowPunct/>
        <w:topLinePunct w:val="0"/>
        <w:autoSpaceDE/>
        <w:autoSpaceDN/>
        <w:bidi w:val="0"/>
        <w:adjustRightInd/>
        <w:snapToGrid/>
        <w:spacing w:line="560" w:lineRule="exact"/>
        <w:ind w:firstLine="641"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第三阶段</w:t>
      </w:r>
      <w:r>
        <w:rPr>
          <w:rFonts w:hint="eastAsia" w:ascii="仿宋" w:hAnsi="仿宋" w:eastAsia="仿宋" w:cs="仿宋"/>
          <w:sz w:val="32"/>
          <w:szCs w:val="32"/>
        </w:rPr>
        <w:t>：网络货运服务生态全面完善；</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大宗贸易交易平台，通过数字经济平台大数据分析可精准的匹配上下游需求，实现网上订单，线上交易。</w:t>
      </w:r>
      <w:r>
        <w:rPr>
          <w:rFonts w:hint="eastAsia" w:ascii="仿宋" w:hAnsi="仿宋" w:eastAsia="仿宋" w:cs="仿宋"/>
          <w:sz w:val="32"/>
          <w:szCs w:val="32"/>
          <w:lang w:val="en-US" w:eastAsia="zh-CN"/>
        </w:rPr>
        <w:t>通过数字经济平台大数据提供最有价值的货源，从而降低物流成本，实现网络货运降本初衷“降本增效”。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1" w:firstLineChars="200"/>
        <w:jc w:val="both"/>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六、</w:t>
      </w:r>
      <w:r>
        <w:rPr>
          <w:rFonts w:hint="eastAsia" w:ascii="仿宋" w:hAnsi="仿宋" w:eastAsia="仿宋" w:cs="仿宋"/>
          <w:b/>
          <w:bCs/>
          <w:color w:val="000000" w:themeColor="text1"/>
          <w:sz w:val="32"/>
          <w:szCs w:val="32"/>
          <w14:textFill>
            <w14:solidFill>
              <w14:schemeClr w14:val="tx1"/>
            </w14:solidFill>
          </w14:textFill>
        </w:rPr>
        <w:t>物流产业数字经济平台后市场预期影响</w:t>
      </w:r>
    </w:p>
    <w:p>
      <w:pPr>
        <w:keepNext w:val="0"/>
        <w:keepLines w:val="0"/>
        <w:pageBreakBefore w:val="0"/>
        <w:numPr>
          <w:ilvl w:val="0"/>
          <w:numId w:val="6"/>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经济预期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color w:val="000000" w:themeColor="text1"/>
          <w:sz w:val="32"/>
          <w:szCs w:val="32"/>
          <w:lang w:val="en-US" w:eastAsia="zh-CN"/>
          <w14:textFill>
            <w14:solidFill>
              <w14:schemeClr w14:val="tx1"/>
            </w14:solidFill>
          </w14:textFill>
        </w:rPr>
        <w:t>物流产业数字经济平台</w:t>
      </w:r>
      <w:r>
        <w:rPr>
          <w:rFonts w:hint="eastAsia" w:ascii="仿宋" w:hAnsi="仿宋" w:eastAsia="仿宋" w:cs="仿宋"/>
          <w:color w:val="000000" w:themeColor="text1"/>
          <w:sz w:val="32"/>
          <w:szCs w:val="32"/>
          <w14:textFill>
            <w14:solidFill>
              <w14:schemeClr w14:val="tx1"/>
            </w14:solidFill>
          </w14:textFill>
        </w:rPr>
        <w:t>促进地方经济</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sz w:val="32"/>
          <w:szCs w:val="32"/>
        </w:rPr>
        <w:t>物流行业规范、有序、健康</w:t>
      </w:r>
      <w:r>
        <w:rPr>
          <w:rFonts w:hint="eastAsia" w:ascii="仿宋" w:hAnsi="仿宋" w:eastAsia="仿宋" w:cs="仿宋"/>
          <w:color w:val="000000" w:themeColor="text1"/>
          <w:sz w:val="32"/>
          <w:szCs w:val="32"/>
          <w:lang w:val="en-US"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发展</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促进物流、贸易数据增值，降低物流GDP的成本，</w:t>
      </w:r>
      <w:r>
        <w:rPr>
          <w:rFonts w:hint="eastAsia" w:ascii="仿宋" w:hAnsi="仿宋" w:eastAsia="仿宋" w:cs="仿宋"/>
          <w:sz w:val="32"/>
          <w:szCs w:val="32"/>
        </w:rPr>
        <w:t>有助于数字经济产业聚集区的形成；提高地方财政收入</w:t>
      </w:r>
      <w:r>
        <w:rPr>
          <w:rFonts w:hint="eastAsia" w:ascii="仿宋" w:hAnsi="仿宋" w:eastAsia="仿宋" w:cs="仿宋"/>
          <w:sz w:val="32"/>
          <w:szCs w:val="32"/>
          <w:lang w:eastAsia="zh-CN"/>
        </w:rPr>
        <w:t>，</w:t>
      </w:r>
      <w:r>
        <w:rPr>
          <w:rFonts w:hint="eastAsia" w:ascii="仿宋" w:hAnsi="仿宋" w:eastAsia="仿宋" w:cs="仿宋"/>
          <w:sz w:val="32"/>
          <w:szCs w:val="32"/>
        </w:rPr>
        <w:t>促进当地煤炭交易</w:t>
      </w:r>
      <w:r>
        <w:rPr>
          <w:rFonts w:hint="eastAsia" w:ascii="仿宋" w:hAnsi="仿宋" w:eastAsia="仿宋" w:cs="仿宋"/>
          <w:sz w:val="32"/>
          <w:szCs w:val="32"/>
          <w:lang w:val="en-US" w:eastAsia="zh-CN"/>
        </w:rPr>
        <w:t>率，在</w:t>
      </w:r>
      <w:r>
        <w:rPr>
          <w:rFonts w:hint="eastAsia" w:ascii="仿宋" w:hAnsi="仿宋" w:eastAsia="仿宋" w:cs="仿宋"/>
          <w:sz w:val="32"/>
          <w:szCs w:val="32"/>
        </w:rPr>
        <w:t>物流行业属地规模增大</w:t>
      </w:r>
      <w:r>
        <w:rPr>
          <w:rFonts w:hint="eastAsia" w:ascii="仿宋" w:hAnsi="仿宋" w:eastAsia="仿宋" w:cs="仿宋"/>
          <w:sz w:val="32"/>
          <w:szCs w:val="32"/>
          <w:lang w:eastAsia="zh-CN"/>
        </w:rPr>
        <w:t>。</w:t>
      </w:r>
    </w:p>
    <w:p>
      <w:pPr>
        <w:keepNext w:val="0"/>
        <w:keepLines w:val="0"/>
        <w:pageBreakBefore w:val="0"/>
        <w:numPr>
          <w:ilvl w:val="0"/>
          <w:numId w:val="6"/>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社会预期</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color w:val="000000" w:themeColor="text1"/>
          <w:sz w:val="32"/>
          <w:szCs w:val="32"/>
          <w:lang w:val="en-US" w:eastAsia="zh-CN"/>
          <w14:textFill>
            <w14:solidFill>
              <w14:schemeClr w14:val="tx1"/>
            </w14:solidFill>
          </w14:textFill>
        </w:rPr>
        <w:t>物流产业数字经济平台可提高</w:t>
      </w:r>
      <w:r>
        <w:rPr>
          <w:rFonts w:hint="eastAsia" w:ascii="仿宋" w:hAnsi="仿宋" w:eastAsia="仿宋" w:cs="仿宋"/>
          <w:color w:val="000000" w:themeColor="text1"/>
          <w:sz w:val="32"/>
          <w:szCs w:val="32"/>
          <w14:textFill>
            <w14:solidFill>
              <w14:schemeClr w14:val="tx1"/>
            </w14:solidFill>
          </w14:textFill>
        </w:rPr>
        <w:t>增加岗位就业</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i w:val="0"/>
          <w:caps w:val="0"/>
          <w:color w:val="222222"/>
          <w:spacing w:val="7"/>
          <w:sz w:val="32"/>
          <w:szCs w:val="32"/>
          <w:u w:val="none"/>
          <w:shd w:val="clear" w:fill="FFFFFF"/>
        </w:rPr>
        <w:t>吸纳了大量就业，其延伸和关联领域的产业与行业也同样成为吸纳就业的“海绵”。</w:t>
      </w:r>
      <w:r>
        <w:rPr>
          <w:rFonts w:hint="eastAsia" w:ascii="仿宋" w:hAnsi="仿宋" w:eastAsia="仿宋" w:cs="仿宋"/>
          <w:sz w:val="32"/>
          <w:szCs w:val="32"/>
        </w:rPr>
        <w:t>有助于培养物流专业人才</w:t>
      </w:r>
      <w:r>
        <w:rPr>
          <w:rFonts w:hint="eastAsia" w:ascii="仿宋" w:hAnsi="仿宋" w:eastAsia="仿宋" w:cs="仿宋"/>
          <w:sz w:val="32"/>
          <w:szCs w:val="32"/>
          <w:lang w:val="en-US" w:eastAsia="zh-CN"/>
        </w:rPr>
        <w:t>培养</w:t>
      </w:r>
      <w:r>
        <w:rPr>
          <w:rFonts w:hint="eastAsia" w:ascii="仿宋" w:hAnsi="仿宋" w:eastAsia="仿宋" w:cs="仿宋"/>
          <w:sz w:val="32"/>
          <w:szCs w:val="32"/>
        </w:rPr>
        <w:t>，促进规范物流企业合理纳税</w:t>
      </w:r>
      <w:r>
        <w:rPr>
          <w:rFonts w:hint="eastAsia" w:ascii="仿宋" w:hAnsi="仿宋" w:eastAsia="仿宋" w:cs="仿宋"/>
          <w:sz w:val="32"/>
          <w:szCs w:val="32"/>
          <w:lang w:eastAsia="zh-CN"/>
        </w:rPr>
        <w:t>，</w:t>
      </w:r>
      <w:r>
        <w:rPr>
          <w:rFonts w:hint="eastAsia" w:ascii="仿宋" w:hAnsi="仿宋" w:eastAsia="仿宋" w:cs="仿宋"/>
          <w:sz w:val="32"/>
          <w:szCs w:val="32"/>
        </w:rPr>
        <w:t>物流资源整合利用</w:t>
      </w:r>
      <w:r>
        <w:rPr>
          <w:rFonts w:hint="eastAsia" w:ascii="仿宋" w:hAnsi="仿宋" w:eastAsia="仿宋" w:cs="仿宋"/>
          <w:sz w:val="32"/>
          <w:szCs w:val="32"/>
          <w:lang w:eastAsia="zh-CN"/>
        </w:rPr>
        <w:t>，</w:t>
      </w:r>
      <w:r>
        <w:rPr>
          <w:rFonts w:hint="eastAsia" w:ascii="仿宋" w:hAnsi="仿宋" w:eastAsia="仿宋" w:cs="仿宋"/>
          <w:sz w:val="32"/>
          <w:szCs w:val="32"/>
        </w:rPr>
        <w:t>优化网络货运布局，利于节能环保，改善环境</w:t>
      </w:r>
      <w:r>
        <w:rPr>
          <w:rFonts w:hint="eastAsia" w:ascii="仿宋" w:hAnsi="仿宋" w:eastAsia="仿宋" w:cs="仿宋"/>
          <w:sz w:val="32"/>
          <w:szCs w:val="32"/>
          <w:lang w:eastAsia="zh-CN"/>
        </w:rPr>
        <w:t>。</w:t>
      </w:r>
      <w:r>
        <w:rPr>
          <w:rFonts w:hint="eastAsia" w:ascii="仿宋" w:hAnsi="仿宋" w:eastAsia="仿宋" w:cs="仿宋"/>
          <w:i w:val="0"/>
          <w:caps w:val="0"/>
          <w:color w:val="222222"/>
          <w:spacing w:val="7"/>
          <w:sz w:val="32"/>
          <w:szCs w:val="32"/>
          <w:u w:val="none"/>
          <w:shd w:val="clear" w:fill="FFFFFF"/>
        </w:rPr>
        <w:t>实践证明，</w:t>
      </w:r>
      <w:r>
        <w:rPr>
          <w:rFonts w:hint="eastAsia" w:ascii="仿宋" w:hAnsi="仿宋" w:eastAsia="仿宋" w:cs="仿宋"/>
          <w:i w:val="0"/>
          <w:caps w:val="0"/>
          <w:color w:val="222222"/>
          <w:spacing w:val="7"/>
          <w:sz w:val="32"/>
          <w:szCs w:val="32"/>
          <w:u w:val="none"/>
          <w:shd w:val="clear" w:fill="FFFFFF"/>
          <w:lang w:val="en-US" w:eastAsia="zh-CN"/>
        </w:rPr>
        <w:t>物流</w:t>
      </w:r>
      <w:r>
        <w:rPr>
          <w:rFonts w:hint="eastAsia" w:ascii="仿宋" w:hAnsi="仿宋" w:eastAsia="仿宋" w:cs="仿宋"/>
          <w:i w:val="0"/>
          <w:caps w:val="0"/>
          <w:color w:val="222222"/>
          <w:spacing w:val="7"/>
          <w:sz w:val="32"/>
          <w:szCs w:val="32"/>
          <w:u w:val="none"/>
          <w:shd w:val="clear" w:fill="FFFFFF"/>
        </w:rPr>
        <w:t>数字经济</w:t>
      </w:r>
      <w:r>
        <w:rPr>
          <w:rFonts w:hint="eastAsia" w:ascii="仿宋" w:hAnsi="仿宋" w:eastAsia="仿宋" w:cs="仿宋"/>
          <w:i w:val="0"/>
          <w:caps w:val="0"/>
          <w:color w:val="222222"/>
          <w:spacing w:val="7"/>
          <w:sz w:val="32"/>
          <w:szCs w:val="32"/>
          <w:u w:val="none"/>
          <w:shd w:val="clear" w:fill="FFFFFF"/>
          <w:lang w:val="en-US" w:eastAsia="zh-CN"/>
        </w:rPr>
        <w:t>平台有</w:t>
      </w:r>
      <w:r>
        <w:rPr>
          <w:rFonts w:hint="eastAsia" w:ascii="仿宋" w:hAnsi="仿宋" w:eastAsia="仿宋" w:cs="仿宋"/>
          <w:i w:val="0"/>
          <w:caps w:val="0"/>
          <w:color w:val="222222"/>
          <w:spacing w:val="7"/>
          <w:sz w:val="32"/>
          <w:szCs w:val="32"/>
          <w:u w:val="none"/>
          <w:shd w:val="clear" w:fill="FFFFFF"/>
        </w:rPr>
        <w:t>强大成长潜力，为其进一步发展赢得了契机，从而也为创造更多的就业奠定了基础，为经济发展社会稳定提供了前提。</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物流产业数字经济平台后市场建设保障</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42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组织架构保障：政府相关部门、中国物流采购联合会、主导企业、当地优秀企业共同参与，保障物流产业数字经济平台后市场健康有序发展。</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42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运营结构保障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榆林设立总部</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专家顾问组</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运维中心</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产品开发部</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宣传中心</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政务服务中心</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物流生态链基础服务中心</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客服中心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北京设立研发技术中心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720" w:firstLineChars="200"/>
        <w:jc w:val="both"/>
        <w:textAlignment w:val="auto"/>
        <w:rPr>
          <w:rFonts w:hint="eastAsia" w:ascii="仿宋" w:hAnsi="仿宋" w:eastAsia="仿宋" w:cs="仿宋"/>
          <w:sz w:val="32"/>
          <w:szCs w:val="32"/>
        </w:rPr>
      </w:pPr>
      <w:r>
        <w:rPr>
          <w:rFonts w:hint="eastAsia" w:ascii="仿宋" w:hAnsi="仿宋" w:eastAsia="仿宋" w:cs="仿宋"/>
          <w:sz w:val="36"/>
          <w:szCs w:val="36"/>
        </w:rPr>
        <w:t>①</w:t>
      </w:r>
      <w:r>
        <w:rPr>
          <w:rFonts w:hint="eastAsia" w:ascii="仿宋" w:hAnsi="仿宋" w:eastAsia="仿宋" w:cs="仿宋"/>
          <w:sz w:val="32"/>
          <w:szCs w:val="32"/>
        </w:rPr>
        <w:t>产品研究中心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720" w:firstLineChars="200"/>
        <w:jc w:val="both"/>
        <w:textAlignment w:val="auto"/>
        <w:rPr>
          <w:rFonts w:hint="eastAsia" w:ascii="仿宋" w:hAnsi="仿宋" w:eastAsia="仿宋" w:cs="仿宋"/>
          <w:sz w:val="32"/>
          <w:szCs w:val="32"/>
        </w:rPr>
      </w:pPr>
      <w:r>
        <w:rPr>
          <w:rFonts w:hint="eastAsia" w:ascii="仿宋" w:hAnsi="仿宋" w:eastAsia="仿宋" w:cs="仿宋"/>
          <w:sz w:val="36"/>
          <w:szCs w:val="36"/>
        </w:rPr>
        <w:t>②</w:t>
      </w:r>
      <w:r>
        <w:rPr>
          <w:rFonts w:hint="eastAsia" w:ascii="仿宋" w:hAnsi="仿宋" w:eastAsia="仿宋" w:cs="仿宋"/>
          <w:sz w:val="32"/>
          <w:szCs w:val="32"/>
        </w:rPr>
        <w:t>技术开发部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布局：西南、东南、中原、东部、东北成立服务机构，招商、对接、服务同行企业，通过联盟共赢的理念为陕西榆林</w:t>
      </w:r>
      <w:r>
        <w:rPr>
          <w:rFonts w:hint="eastAsia" w:ascii="仿宋" w:hAnsi="仿宋" w:eastAsia="仿宋" w:cs="仿宋"/>
          <w:color w:val="auto"/>
          <w:sz w:val="32"/>
          <w:szCs w:val="32"/>
        </w:rPr>
        <w:t>物流产业数字经济平台后市场，快速增长搭建稳固的桥梁。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rPr>
        <w:t>政务保障</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在合理市场范围下对接其它主管部门，支持榆林</w:t>
      </w:r>
      <w:r>
        <w:rPr>
          <w:rFonts w:hint="eastAsia" w:ascii="仿宋" w:hAnsi="仿宋" w:eastAsia="仿宋" w:cs="仿宋"/>
          <w:color w:val="auto"/>
          <w:sz w:val="32"/>
          <w:szCs w:val="32"/>
        </w:rPr>
        <w:t>物流产业数字经济平台后市场</w:t>
      </w:r>
      <w:r>
        <w:rPr>
          <w:rFonts w:hint="eastAsia" w:ascii="仿宋" w:hAnsi="仿宋" w:eastAsia="仿宋" w:cs="仿宋"/>
          <w:sz w:val="32"/>
          <w:szCs w:val="32"/>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争取将奖励扶持政策与国内其它省、市、县持平，通过榆林</w:t>
      </w:r>
      <w:r>
        <w:rPr>
          <w:rFonts w:hint="eastAsia" w:ascii="仿宋" w:hAnsi="仿宋" w:eastAsia="仿宋" w:cs="仿宋"/>
          <w:color w:val="auto"/>
          <w:sz w:val="32"/>
          <w:szCs w:val="32"/>
        </w:rPr>
        <w:t>物流产业数字经济平台后市场，给予被服务企业享受。</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sz w:val="32"/>
          <w:szCs w:val="32"/>
        </w:rPr>
        <w:tab/>
      </w: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rPr>
        <w:t>京卡物联（北京）数据技术有限公司</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 xml:space="preserve"> 2020</w:t>
      </w:r>
      <w:r>
        <w:rPr>
          <w:rFonts w:hint="eastAsia" w:ascii="仿宋" w:hAnsi="仿宋" w:eastAsia="仿宋" w:cs="仿宋"/>
          <w:b w:val="0"/>
          <w:bCs w:val="0"/>
          <w:sz w:val="32"/>
          <w:szCs w:val="32"/>
          <w:lang w:val="en-US" w:eastAsia="zh-CN"/>
        </w:rPr>
        <w:t>年</w:t>
      </w:r>
      <w:r>
        <w:rPr>
          <w:rFonts w:hint="eastAsia" w:ascii="仿宋" w:hAnsi="仿宋" w:eastAsia="仿宋" w:cs="仿宋"/>
          <w:b w:val="0"/>
          <w:bCs w:val="0"/>
          <w:sz w:val="32"/>
          <w:szCs w:val="32"/>
        </w:rPr>
        <w:t>3</w:t>
      </w:r>
      <w:r>
        <w:rPr>
          <w:rFonts w:hint="eastAsia" w:ascii="仿宋" w:hAnsi="仿宋" w:eastAsia="仿宋" w:cs="仿宋"/>
          <w:b w:val="0"/>
          <w:bCs w:val="0"/>
          <w:sz w:val="32"/>
          <w:szCs w:val="32"/>
          <w:lang w:val="en-US" w:eastAsia="zh-CN"/>
        </w:rPr>
        <w:t>月</w:t>
      </w:r>
      <w:r>
        <w:rPr>
          <w:rFonts w:hint="eastAsia" w:ascii="仿宋" w:hAnsi="仿宋" w:eastAsia="仿宋" w:cs="仿宋"/>
          <w:b w:val="0"/>
          <w:bCs w:val="0"/>
          <w:sz w:val="32"/>
          <w:szCs w:val="32"/>
        </w:rPr>
        <w:t>29</w:t>
      </w:r>
      <w:r>
        <w:rPr>
          <w:rFonts w:hint="eastAsia" w:ascii="仿宋" w:hAnsi="仿宋" w:eastAsia="仿宋" w:cs="仿宋"/>
          <w:b w:val="0"/>
          <w:bCs w:val="0"/>
          <w:sz w:val="32"/>
          <w:szCs w:val="32"/>
          <w:lang w:val="en-US" w:eastAsia="zh-CN"/>
        </w:rPr>
        <w:t>日</w:t>
      </w:r>
    </w:p>
    <w:sectPr>
      <w:footerReference r:id="rId3" w:type="default"/>
      <w:pgSz w:w="11906" w:h="16838"/>
      <w:pgMar w:top="1440" w:right="1034" w:bottom="1440" w:left="12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Light">
    <w:altName w:val="Helvetica Neue"/>
    <w:panose1 w:val="020F0302020204030204"/>
    <w:charset w:val="00"/>
    <w:family w:val="auto"/>
    <w:pitch w:val="default"/>
    <w:sig w:usb0="00000000" w:usb1="00000000" w:usb2="00000009" w:usb3="00000000" w:csb0="200001FF" w:csb1="00000000"/>
  </w:font>
  <w:font w:name="微软雅黑">
    <w:altName w:val="汉仪旗黑KW"/>
    <w:panose1 w:val="020B0503020204020204"/>
    <w:charset w:val="86"/>
    <w:family w:val="auto"/>
    <w:pitch w:val="default"/>
    <w:sig w:usb0="00000000" w:usb1="00000000" w:usb2="00000016" w:usb3="00000000" w:csb0="0004001F" w:csb1="00000000"/>
  </w:font>
  <w:font w:name="仿宋">
    <w:altName w:val="汉仪仿宋KW"/>
    <w:panose1 w:val="02010609060101010101"/>
    <w:charset w:val="86"/>
    <w:family w:val="auto"/>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80000287" w:usb1="280F3C52" w:usb2="00000016" w:usb3="00000000" w:csb0="0004001F" w:csb1="00000000"/>
  </w:font>
  <w:font w:name="汉仪旗黑KW">
    <w:panose1 w:val="00020600040101010101"/>
    <w:charset w:val="86"/>
    <w:family w:val="auto"/>
    <w:pitch w:val="default"/>
    <w:sig w:usb0="A00002BF" w:usb1="3ACF7CFA" w:usb2="00000016" w:usb3="00000000" w:csb0="0004009F" w:csb1="DFD70000"/>
  </w:font>
  <w:font w:name="汉仪仿宋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仿宋">
    <w:altName w:val="汉仪仿宋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Theme="minorEastAsia"/>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NxeOVFQIAABUEAAAOAAAAAAAAAAEAIAAAADUBAABkcnMvZTJvRG9jLnhtbFBLBQYAAAAABgAG&#10;AFkBAAC8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AAB96C"/>
    <w:multiLevelType w:val="singleLevel"/>
    <w:tmpl w:val="D5AAB96C"/>
    <w:lvl w:ilvl="0" w:tentative="0">
      <w:start w:val="1"/>
      <w:numFmt w:val="decimalEnclosedCircleChinese"/>
      <w:suff w:val="nothing"/>
      <w:lvlText w:val="%1　"/>
      <w:lvlJc w:val="left"/>
      <w:pPr>
        <w:ind w:left="0" w:firstLine="400"/>
      </w:pPr>
      <w:rPr>
        <w:rFonts w:hint="eastAsia"/>
      </w:rPr>
    </w:lvl>
  </w:abstractNum>
  <w:abstractNum w:abstractNumId="1">
    <w:nsid w:val="05DF6E8F"/>
    <w:multiLevelType w:val="multilevel"/>
    <w:tmpl w:val="05DF6E8F"/>
    <w:lvl w:ilvl="0" w:tentative="0">
      <w:start w:val="1"/>
      <w:numFmt w:val="decimalEnclosedCircle"/>
      <w:lvlText w:val="%1"/>
      <w:lvlJc w:val="left"/>
      <w:pPr>
        <w:ind w:left="1125" w:hanging="480"/>
      </w:pPr>
    </w:lvl>
    <w:lvl w:ilvl="1" w:tentative="0">
      <w:start w:val="1"/>
      <w:numFmt w:val="lowerLetter"/>
      <w:lvlText w:val="%2)"/>
      <w:lvlJc w:val="left"/>
      <w:pPr>
        <w:ind w:left="1605" w:hanging="480"/>
      </w:pPr>
    </w:lvl>
    <w:lvl w:ilvl="2" w:tentative="0">
      <w:start w:val="1"/>
      <w:numFmt w:val="lowerRoman"/>
      <w:lvlText w:val="%3."/>
      <w:lvlJc w:val="right"/>
      <w:pPr>
        <w:ind w:left="2085" w:hanging="480"/>
      </w:pPr>
    </w:lvl>
    <w:lvl w:ilvl="3" w:tentative="0">
      <w:start w:val="1"/>
      <w:numFmt w:val="decimal"/>
      <w:lvlText w:val="%4."/>
      <w:lvlJc w:val="left"/>
      <w:pPr>
        <w:ind w:left="2565" w:hanging="480"/>
      </w:pPr>
    </w:lvl>
    <w:lvl w:ilvl="4" w:tentative="0">
      <w:start w:val="1"/>
      <w:numFmt w:val="lowerLetter"/>
      <w:lvlText w:val="%5)"/>
      <w:lvlJc w:val="left"/>
      <w:pPr>
        <w:ind w:left="3045" w:hanging="480"/>
      </w:pPr>
    </w:lvl>
    <w:lvl w:ilvl="5" w:tentative="0">
      <w:start w:val="1"/>
      <w:numFmt w:val="lowerRoman"/>
      <w:lvlText w:val="%6."/>
      <w:lvlJc w:val="right"/>
      <w:pPr>
        <w:ind w:left="3525" w:hanging="480"/>
      </w:pPr>
    </w:lvl>
    <w:lvl w:ilvl="6" w:tentative="0">
      <w:start w:val="1"/>
      <w:numFmt w:val="decimal"/>
      <w:lvlText w:val="%7."/>
      <w:lvlJc w:val="left"/>
      <w:pPr>
        <w:ind w:left="4005" w:hanging="480"/>
      </w:pPr>
    </w:lvl>
    <w:lvl w:ilvl="7" w:tentative="0">
      <w:start w:val="1"/>
      <w:numFmt w:val="lowerLetter"/>
      <w:lvlText w:val="%8)"/>
      <w:lvlJc w:val="left"/>
      <w:pPr>
        <w:ind w:left="4485" w:hanging="480"/>
      </w:pPr>
    </w:lvl>
    <w:lvl w:ilvl="8" w:tentative="0">
      <w:start w:val="1"/>
      <w:numFmt w:val="lowerRoman"/>
      <w:lvlText w:val="%9."/>
      <w:lvlJc w:val="right"/>
      <w:pPr>
        <w:ind w:left="4965" w:hanging="480"/>
      </w:pPr>
    </w:lvl>
  </w:abstractNum>
  <w:abstractNum w:abstractNumId="2">
    <w:nsid w:val="5E69F815"/>
    <w:multiLevelType w:val="singleLevel"/>
    <w:tmpl w:val="5E69F815"/>
    <w:lvl w:ilvl="0" w:tentative="0">
      <w:start w:val="1"/>
      <w:numFmt w:val="chineseCounting"/>
      <w:suff w:val="nothing"/>
      <w:lvlText w:val="（%1）"/>
      <w:lvlJc w:val="left"/>
    </w:lvl>
  </w:abstractNum>
  <w:abstractNum w:abstractNumId="3">
    <w:nsid w:val="5E69F8B0"/>
    <w:multiLevelType w:val="singleLevel"/>
    <w:tmpl w:val="5E69F8B0"/>
    <w:lvl w:ilvl="0" w:tentative="0">
      <w:start w:val="1"/>
      <w:numFmt w:val="chineseCounting"/>
      <w:suff w:val="nothing"/>
      <w:lvlText w:val="（%1）"/>
      <w:lvlJc w:val="left"/>
    </w:lvl>
  </w:abstractNum>
  <w:abstractNum w:abstractNumId="4">
    <w:nsid w:val="5E7BDCD7"/>
    <w:multiLevelType w:val="singleLevel"/>
    <w:tmpl w:val="5E7BDCD7"/>
    <w:lvl w:ilvl="0" w:tentative="0">
      <w:start w:val="2"/>
      <w:numFmt w:val="chineseCounting"/>
      <w:suff w:val="nothing"/>
      <w:lvlText w:val="（%1）"/>
      <w:lvlJc w:val="left"/>
      <w:rPr>
        <w:rFonts w:hint="eastAsia"/>
      </w:rPr>
    </w:lvl>
  </w:abstractNum>
  <w:abstractNum w:abstractNumId="5">
    <w:nsid w:val="5E846A58"/>
    <w:multiLevelType w:val="singleLevel"/>
    <w:tmpl w:val="5E846A58"/>
    <w:lvl w:ilvl="0" w:tentative="0">
      <w:start w:val="1"/>
      <w:numFmt w:val="decimalEnclosedCircleChinese"/>
      <w:suff w:val="nothing"/>
      <w:lvlText w:val="%1　"/>
      <w:lvlJc w:val="left"/>
      <w:pPr>
        <w:ind w:left="0" w:leftChars="0" w:firstLine="400" w:firstLineChars="0"/>
      </w:pPr>
      <w:rPr>
        <w:rFonts w:hint="eastAsia"/>
      </w:rPr>
    </w:lvl>
  </w:abstractNum>
  <w:abstractNum w:abstractNumId="6">
    <w:nsid w:val="5E95352F"/>
    <w:multiLevelType w:val="singleLevel"/>
    <w:tmpl w:val="5E95352F"/>
    <w:lvl w:ilvl="0" w:tentative="0">
      <w:start w:val="1"/>
      <w:numFmt w:val="chineseCounting"/>
      <w:suff w:val="nothing"/>
      <w:lvlText w:val="（%1）"/>
      <w:lvlJc w:val="left"/>
      <w:pPr>
        <w:ind w:left="0" w:leftChars="0" w:firstLine="420" w:firstLineChars="0"/>
      </w:pPr>
      <w:rPr>
        <w:rFonts w:hint="eastAsia"/>
      </w:rPr>
    </w:lvl>
  </w:abstractNum>
  <w:abstractNum w:abstractNumId="7">
    <w:nsid w:val="7867563E"/>
    <w:multiLevelType w:val="multilevel"/>
    <w:tmpl w:val="7867563E"/>
    <w:lvl w:ilvl="0" w:tentative="0">
      <w:start w:val="1"/>
      <w:numFmt w:val="decimalEnclosedCircle"/>
      <w:lvlText w:val="%1"/>
      <w:lvlJc w:val="left"/>
      <w:pPr>
        <w:ind w:left="1125" w:hanging="480"/>
      </w:pPr>
    </w:lvl>
    <w:lvl w:ilvl="1" w:tentative="0">
      <w:start w:val="1"/>
      <w:numFmt w:val="lowerLetter"/>
      <w:lvlText w:val="%2)"/>
      <w:lvlJc w:val="left"/>
      <w:pPr>
        <w:ind w:left="1605" w:hanging="480"/>
      </w:pPr>
    </w:lvl>
    <w:lvl w:ilvl="2" w:tentative="0">
      <w:start w:val="1"/>
      <w:numFmt w:val="lowerRoman"/>
      <w:lvlText w:val="%3."/>
      <w:lvlJc w:val="right"/>
      <w:pPr>
        <w:ind w:left="2085" w:hanging="480"/>
      </w:pPr>
    </w:lvl>
    <w:lvl w:ilvl="3" w:tentative="0">
      <w:start w:val="1"/>
      <w:numFmt w:val="decimal"/>
      <w:lvlText w:val="%4."/>
      <w:lvlJc w:val="left"/>
      <w:pPr>
        <w:ind w:left="2565" w:hanging="480"/>
      </w:pPr>
    </w:lvl>
    <w:lvl w:ilvl="4" w:tentative="0">
      <w:start w:val="1"/>
      <w:numFmt w:val="lowerLetter"/>
      <w:lvlText w:val="%5)"/>
      <w:lvlJc w:val="left"/>
      <w:pPr>
        <w:ind w:left="3045" w:hanging="480"/>
      </w:pPr>
    </w:lvl>
    <w:lvl w:ilvl="5" w:tentative="0">
      <w:start w:val="1"/>
      <w:numFmt w:val="lowerRoman"/>
      <w:lvlText w:val="%6."/>
      <w:lvlJc w:val="right"/>
      <w:pPr>
        <w:ind w:left="3525" w:hanging="480"/>
      </w:pPr>
    </w:lvl>
    <w:lvl w:ilvl="6" w:tentative="0">
      <w:start w:val="1"/>
      <w:numFmt w:val="decimal"/>
      <w:lvlText w:val="%7."/>
      <w:lvlJc w:val="left"/>
      <w:pPr>
        <w:ind w:left="4005" w:hanging="480"/>
      </w:pPr>
    </w:lvl>
    <w:lvl w:ilvl="7" w:tentative="0">
      <w:start w:val="1"/>
      <w:numFmt w:val="lowerLetter"/>
      <w:lvlText w:val="%8)"/>
      <w:lvlJc w:val="left"/>
      <w:pPr>
        <w:ind w:left="4485" w:hanging="480"/>
      </w:pPr>
    </w:lvl>
    <w:lvl w:ilvl="8" w:tentative="0">
      <w:start w:val="1"/>
      <w:numFmt w:val="lowerRoman"/>
      <w:lvlText w:val="%9."/>
      <w:lvlJc w:val="right"/>
      <w:pPr>
        <w:ind w:left="4965" w:hanging="480"/>
      </w:pPr>
    </w:lvl>
  </w:abstractNum>
  <w:num w:numId="1">
    <w:abstractNumId w:val="4"/>
  </w:num>
  <w:num w:numId="2">
    <w:abstractNumId w:val="6"/>
  </w:num>
  <w:num w:numId="3">
    <w:abstractNumId w:val="5"/>
  </w:num>
  <w:num w:numId="4">
    <w:abstractNumId w:val="7"/>
  </w:num>
  <w:num w:numId="5">
    <w:abstractNumId w:val="1"/>
  </w:num>
  <w:num w:numId="6">
    <w:abstractNumId w:val="2"/>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documentProtection w:enforcement="0"/>
  <w:defaultTabStop w:val="420"/>
  <w:drawingGridHorizontalSpacing w:val="219"/>
  <w:drawingGridVerticalSpacing w:val="24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AEAE56"/>
    <w:rsid w:val="00030861"/>
    <w:rsid w:val="00060CC6"/>
    <w:rsid w:val="00080EE2"/>
    <w:rsid w:val="00092115"/>
    <w:rsid w:val="000C7C2B"/>
    <w:rsid w:val="001336B1"/>
    <w:rsid w:val="001A223A"/>
    <w:rsid w:val="001F5010"/>
    <w:rsid w:val="00291DAF"/>
    <w:rsid w:val="002C4318"/>
    <w:rsid w:val="00302803"/>
    <w:rsid w:val="0032429E"/>
    <w:rsid w:val="00347630"/>
    <w:rsid w:val="00434AFB"/>
    <w:rsid w:val="00447173"/>
    <w:rsid w:val="00484A7A"/>
    <w:rsid w:val="004E3738"/>
    <w:rsid w:val="00523D80"/>
    <w:rsid w:val="005728A7"/>
    <w:rsid w:val="005955F4"/>
    <w:rsid w:val="005B470F"/>
    <w:rsid w:val="00664E16"/>
    <w:rsid w:val="00671C8A"/>
    <w:rsid w:val="006A3711"/>
    <w:rsid w:val="00824A6F"/>
    <w:rsid w:val="008E56B3"/>
    <w:rsid w:val="00962622"/>
    <w:rsid w:val="0098511D"/>
    <w:rsid w:val="00AF39A9"/>
    <w:rsid w:val="00BA0B03"/>
    <w:rsid w:val="00BC1C65"/>
    <w:rsid w:val="00C05A7D"/>
    <w:rsid w:val="00C06944"/>
    <w:rsid w:val="00C078C2"/>
    <w:rsid w:val="00C115A0"/>
    <w:rsid w:val="00C404A5"/>
    <w:rsid w:val="00CB72CB"/>
    <w:rsid w:val="00CE3D85"/>
    <w:rsid w:val="00D21A62"/>
    <w:rsid w:val="00D87847"/>
    <w:rsid w:val="00DB5679"/>
    <w:rsid w:val="00DC46A8"/>
    <w:rsid w:val="00F30D4D"/>
    <w:rsid w:val="02F325C5"/>
    <w:rsid w:val="12845EC1"/>
    <w:rsid w:val="164F7106"/>
    <w:rsid w:val="170760C3"/>
    <w:rsid w:val="1FDF3F71"/>
    <w:rsid w:val="21B43B01"/>
    <w:rsid w:val="27F63AE9"/>
    <w:rsid w:val="2B8724F3"/>
    <w:rsid w:val="302C7FD3"/>
    <w:rsid w:val="339A067E"/>
    <w:rsid w:val="37C407F3"/>
    <w:rsid w:val="38A23FD6"/>
    <w:rsid w:val="3CC575BA"/>
    <w:rsid w:val="3EDA7BC0"/>
    <w:rsid w:val="412C50AA"/>
    <w:rsid w:val="435A6B0C"/>
    <w:rsid w:val="459B45F4"/>
    <w:rsid w:val="46370796"/>
    <w:rsid w:val="46C122CE"/>
    <w:rsid w:val="49FC4C60"/>
    <w:rsid w:val="53FC670D"/>
    <w:rsid w:val="5BED0C77"/>
    <w:rsid w:val="5F7B1F52"/>
    <w:rsid w:val="6FF717C7"/>
    <w:rsid w:val="700A1C4E"/>
    <w:rsid w:val="713C7CDD"/>
    <w:rsid w:val="71612927"/>
    <w:rsid w:val="71F60ABE"/>
    <w:rsid w:val="72A86931"/>
    <w:rsid w:val="74993903"/>
    <w:rsid w:val="785E1E1E"/>
    <w:rsid w:val="7ACD5843"/>
    <w:rsid w:val="7AFFE23C"/>
    <w:rsid w:val="7BFF5A06"/>
    <w:rsid w:val="7CFEBCE5"/>
    <w:rsid w:val="7DDDC8E0"/>
    <w:rsid w:val="9FEE427B"/>
    <w:rsid w:val="AFAEAE56"/>
    <w:rsid w:val="BD4F55A4"/>
    <w:rsid w:val="DFDD6277"/>
    <w:rsid w:val="DFED1116"/>
    <w:rsid w:val="EFDB2209"/>
    <w:rsid w:val="EFEEB6E9"/>
    <w:rsid w:val="F7FD7E58"/>
    <w:rsid w:val="FB4DD496"/>
    <w:rsid w:val="FDFA1503"/>
    <w:rsid w:val="FFEFA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1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7">
    <w:name w:val="Normal (Web)"/>
    <w:basedOn w:val="1"/>
    <w:unhideWhenUsed/>
    <w:qFormat/>
    <w:uiPriority w:val="99"/>
    <w:pPr>
      <w:widowControl/>
      <w:spacing w:before="100" w:beforeAutospacing="1" w:after="100" w:afterAutospacing="1"/>
      <w:jc w:val="left"/>
    </w:pPr>
    <w:rPr>
      <w:rFonts w:ascii="Times New Roman" w:hAnsi="Times New Roman" w:eastAsia="宋体" w:cs="Times New Roman"/>
      <w:kern w:val="0"/>
      <w:sz w:val="24"/>
    </w:rPr>
  </w:style>
  <w:style w:type="paragraph" w:customStyle="1" w:styleId="10">
    <w:name w:val="List Paragraph"/>
    <w:basedOn w:val="1"/>
    <w:qFormat/>
    <w:uiPriority w:val="99"/>
    <w:pPr>
      <w:ind w:firstLine="420" w:firstLineChars="200"/>
    </w:pPr>
  </w:style>
  <w:style w:type="character" w:customStyle="1" w:styleId="11">
    <w:name w:val="标题 2字符"/>
    <w:basedOn w:val="8"/>
    <w:link w:val="3"/>
    <w:semiHidden/>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849</Words>
  <Characters>4843</Characters>
  <Lines>40</Lines>
  <Paragraphs>11</Paragraphs>
  <TotalTime>0</TotalTime>
  <ScaleCrop>false</ScaleCrop>
  <LinksUpToDate>false</LinksUpToDate>
  <CharactersWithSpaces>5681</CharactersWithSpaces>
  <Application>WPS Office_2.1.2.3417_F1E327BC-269C-435d-A152-05C5408002CA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2020-03-29T00:29:00Z</dcterms:created>
  <dc:creator>liufei</dc:creator>
  <cp:lastModifiedBy>liufei</cp:lastModifiedBy>
  <cp:lastPrinted>2020-04-08T10:01:00Z</cp:lastPrinted>
  <dcterms:modified xsi:type="dcterms:W3CDTF">2020-04-17T00:06:20Z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2052-2.1.2.3417</vt:lpwstr>
  </property>
</Properties>
</file>