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outlineLvl w:val="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附件1-3：</w:t>
      </w:r>
    </w:p>
    <w:p>
      <w:pPr>
        <w:snapToGrid w:val="0"/>
        <w:rPr>
          <w:rFonts w:ascii="宋体" w:hAnsi="宋体"/>
          <w:sz w:val="2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上海浦东发展银行个人互联网支付业务</w:t>
      </w:r>
    </w:p>
    <w:p>
      <w:pPr>
        <w:snapToGrid w:val="0"/>
        <w:spacing w:line="360" w:lineRule="auto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电子商户操作信息表</w:t>
      </w:r>
    </w:p>
    <w:tbl>
      <w:tblPr>
        <w:tblStyle w:val="7"/>
        <w:tblpPr w:leftFromText="180" w:rightFromText="180" w:vertAnchor="text" w:horzAnchor="margin" w:tblpXSpec="center" w:tblpY="788"/>
        <w:tblW w:w="1048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798"/>
        <w:gridCol w:w="123"/>
        <w:gridCol w:w="105"/>
        <w:gridCol w:w="2687"/>
        <w:gridCol w:w="758"/>
        <w:gridCol w:w="7"/>
        <w:gridCol w:w="2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8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申请类型（选择一项）：√电子商户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操作类型：√开户/□发放证书/□电子商户参数修改/□信息修改/□销户/□作废证书（顺序号         ）/□强制销户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78" w:firstLineChars="180"/>
              <w:rPr>
                <w:rFonts w:hint="default"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经办人：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eastAsia="zh-CN"/>
              </w:rPr>
              <w:t>薛蔚蘅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              部门负责人：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eastAsia="zh-CN"/>
              </w:rPr>
              <w:t>孙伯秦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         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2020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年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04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28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78" w:firstLineChars="18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联系电话：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 xml:space="preserve">029-63603230        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签发部门：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eastAsia="zh-CN"/>
              </w:rPr>
              <w:t>西安分行网络金融部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商户编号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*</w:t>
            </w:r>
          </w:p>
        </w:tc>
        <w:tc>
          <w:tcPr>
            <w:tcW w:w="3026" w:type="dxa"/>
            <w:gridSpan w:val="3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3452" w:type="dxa"/>
            <w:gridSpan w:val="3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客户号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*</w:t>
            </w:r>
          </w:p>
        </w:tc>
        <w:tc>
          <w:tcPr>
            <w:tcW w:w="2038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2019651355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商户名称</w:t>
            </w:r>
          </w:p>
        </w:tc>
        <w:tc>
          <w:tcPr>
            <w:tcW w:w="8516" w:type="dxa"/>
            <w:gridSpan w:val="7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西安京卡物联科技有限公司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服务对象</w:t>
            </w:r>
          </w:p>
        </w:tc>
        <w:tc>
          <w:tcPr>
            <w:tcW w:w="8516" w:type="dxa"/>
            <w:gridSpan w:val="7"/>
          </w:tcPr>
          <w:p>
            <w:pPr>
              <w:pStyle w:val="18"/>
              <w:ind w:left="360" w:firstLine="0" w:firstLineChars="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   √0-个人    1-公司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第三方商户标识</w:t>
            </w:r>
          </w:p>
        </w:tc>
        <w:tc>
          <w:tcPr>
            <w:tcW w:w="8516" w:type="dxa"/>
            <w:gridSpan w:val="7"/>
          </w:tcPr>
          <w:p>
            <w:pPr>
              <w:ind w:firstLine="840" w:firstLineChars="40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□0-终端类    　　□1-支付机构     　√ 2-平台类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支付卡范围</w:t>
            </w:r>
          </w:p>
        </w:tc>
        <w:tc>
          <w:tcPr>
            <w:tcW w:w="8516" w:type="dxa"/>
            <w:gridSpan w:val="7"/>
          </w:tcPr>
          <w:p>
            <w:pPr>
              <w:ind w:firstLine="945" w:firstLineChars="45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  <w:t>0-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本行支付</w:t>
            </w:r>
            <w:r>
              <w:rPr>
                <w:rFonts w:hint="eastAsia" w:hAnsi="宋体"/>
                <w:highlight w:val="none"/>
              </w:rPr>
              <w:t>　   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  <w:t>1-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跨行支付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交易卡类型</w:t>
            </w:r>
          </w:p>
        </w:tc>
        <w:tc>
          <w:tcPr>
            <w:tcW w:w="8516" w:type="dxa"/>
            <w:gridSpan w:val="7"/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       √0-全部           □1-借记卡         □2-信用卡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商户类别（MCC）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*</w:t>
            </w:r>
          </w:p>
        </w:tc>
        <w:tc>
          <w:tcPr>
            <w:tcW w:w="3026" w:type="dxa"/>
            <w:gridSpan w:val="3"/>
          </w:tcPr>
          <w:p>
            <w:pPr>
              <w:jc w:val="center"/>
              <w:rPr>
                <w:rFonts w:hint="default" w:ascii="宋体" w:hAnsi="宋体" w:eastAsia="宋体"/>
                <w:snapToGrid w:val="0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490" w:type="dxa"/>
            <w:gridSpan w:val="4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公司地址</w:t>
            </w:r>
          </w:p>
        </w:tc>
        <w:tc>
          <w:tcPr>
            <w:tcW w:w="8516" w:type="dxa"/>
            <w:gridSpan w:val="7"/>
          </w:tcPr>
          <w:p>
            <w:pPr>
              <w:spacing w:line="480" w:lineRule="auto"/>
              <w:rPr>
                <w:rFonts w:hint="default" w:ascii="宋体" w:hAnsi="宋体" w:eastAsia="宋体" w:cs="仿宋_GB2312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b/>
                <w:sz w:val="24"/>
                <w:lang w:val="en-US" w:eastAsia="zh-CN"/>
              </w:rPr>
              <w:t>西安市高新区天谷八路156号软件新城二期D座科大讯飞101</w:t>
            </w:r>
          </w:p>
          <w:p>
            <w:pPr>
              <w:jc w:val="both"/>
              <w:rPr>
                <w:b/>
                <w:color w:val="1F497D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商户邮编</w:t>
            </w:r>
          </w:p>
        </w:tc>
        <w:tc>
          <w:tcPr>
            <w:tcW w:w="3026" w:type="dxa"/>
            <w:gridSpan w:val="3"/>
          </w:tcPr>
          <w:p>
            <w:pPr>
              <w:jc w:val="center"/>
              <w:rPr>
                <w:rFonts w:hint="default" w:ascii="宋体" w:hAnsi="宋体" w:eastAsia="宋体"/>
                <w:snapToGrid w:val="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  <w:highlight w:val="none"/>
                <w:lang w:val="en-US" w:eastAsia="zh-CN"/>
              </w:rPr>
              <w:t>710000</w:t>
            </w:r>
          </w:p>
        </w:tc>
        <w:tc>
          <w:tcPr>
            <w:tcW w:w="3445" w:type="dxa"/>
            <w:gridSpan w:val="2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财务联系人</w:t>
            </w:r>
          </w:p>
        </w:tc>
        <w:tc>
          <w:tcPr>
            <w:tcW w:w="2045" w:type="dxa"/>
            <w:gridSpan w:val="2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eastAsia="宋体"/>
                <w:color w:val="1F497D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1F497D"/>
                <w:szCs w:val="21"/>
                <w:highlight w:val="none"/>
                <w:shd w:val="clear" w:color="auto" w:fill="FFFFFF"/>
                <w:lang w:val="en-US" w:eastAsia="zh-CN"/>
              </w:rPr>
              <w:t>邓静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3026" w:type="dxa"/>
            <w:gridSpan w:val="3"/>
          </w:tcPr>
          <w:p>
            <w:pPr>
              <w:jc w:val="center"/>
              <w:rPr>
                <w:rFonts w:hint="default" w:ascii="宋体" w:hAnsi="宋体" w:eastAsia="宋体"/>
                <w:snapToGrid w:val="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13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201600319</w:t>
            </w:r>
            <w:bookmarkStart w:id="0" w:name="_GoBack"/>
            <w:bookmarkEnd w:id="0"/>
          </w:p>
        </w:tc>
        <w:tc>
          <w:tcPr>
            <w:tcW w:w="3445" w:type="dxa"/>
            <w:gridSpan w:val="2"/>
          </w:tcPr>
          <w:p>
            <w:pPr>
              <w:ind w:firstLine="1155" w:firstLineChars="55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电子邮件</w:t>
            </w:r>
          </w:p>
        </w:tc>
        <w:tc>
          <w:tcPr>
            <w:tcW w:w="2045" w:type="dxa"/>
            <w:gridSpan w:val="2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751110023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@qq.com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传真号码</w:t>
            </w:r>
          </w:p>
        </w:tc>
        <w:tc>
          <w:tcPr>
            <w:tcW w:w="3026" w:type="dxa"/>
            <w:gridSpan w:val="3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3445" w:type="dxa"/>
            <w:gridSpan w:val="2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商户简称*</w:t>
            </w:r>
          </w:p>
        </w:tc>
        <w:tc>
          <w:tcPr>
            <w:tcW w:w="2045" w:type="dxa"/>
            <w:gridSpan w:val="2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/>
                <w:snapToGrid w:val="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京卡物联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商户发展行机构号</w:t>
            </w:r>
          </w:p>
        </w:tc>
        <w:tc>
          <w:tcPr>
            <w:tcW w:w="8516" w:type="dxa"/>
            <w:gridSpan w:val="7"/>
          </w:tcPr>
          <w:p>
            <w:pPr>
              <w:jc w:val="left"/>
              <w:rPr>
                <w:rFonts w:hint="default" w:ascii="宋体" w:hAnsi="宋体" w:eastAsia="宋体"/>
                <w:b/>
                <w:snapToGrid w:val="0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网站地址</w:t>
            </w:r>
          </w:p>
        </w:tc>
        <w:tc>
          <w:tcPr>
            <w:tcW w:w="8516" w:type="dxa"/>
            <w:gridSpan w:val="7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网上经营内容</w:t>
            </w:r>
          </w:p>
        </w:tc>
        <w:tc>
          <w:tcPr>
            <w:tcW w:w="8516" w:type="dxa"/>
            <w:gridSpan w:val="7"/>
          </w:tcPr>
          <w:p>
            <w:pPr>
              <w:rPr>
                <w:rFonts w:hint="default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技术服务、技术开发、技术咨询、技术交流、技术转让、技术推广、数据处理服务、计算机软硬件及辅助设备批发、计算机软硬件及辅助设备零售、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实时反馈URL</w:t>
            </w:r>
          </w:p>
        </w:tc>
        <w:tc>
          <w:tcPr>
            <w:tcW w:w="8516" w:type="dxa"/>
            <w:gridSpan w:val="7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接入服务费</w:t>
            </w:r>
          </w:p>
        </w:tc>
        <w:tc>
          <w:tcPr>
            <w:tcW w:w="279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-</w:t>
            </w:r>
          </w:p>
        </w:tc>
        <w:tc>
          <w:tcPr>
            <w:tcW w:w="2915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服务费收取日期</w:t>
            </w:r>
          </w:p>
        </w:tc>
        <w:tc>
          <w:tcPr>
            <w:tcW w:w="2803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保证金账号</w:t>
            </w:r>
          </w:p>
        </w:tc>
        <w:tc>
          <w:tcPr>
            <w:tcW w:w="279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72120078801100001345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</w:t>
            </w:r>
          </w:p>
        </w:tc>
        <w:tc>
          <w:tcPr>
            <w:tcW w:w="2915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保证金额度</w:t>
            </w:r>
          </w:p>
        </w:tc>
        <w:tc>
          <w:tcPr>
            <w:tcW w:w="2803" w:type="dxa"/>
            <w:gridSpan w:val="3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 xml:space="preserve">72120078801100001345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商户结算账号</w:t>
            </w:r>
          </w:p>
        </w:tc>
        <w:tc>
          <w:tcPr>
            <w:tcW w:w="2921" w:type="dxa"/>
            <w:gridSpan w:val="2"/>
            <w:tcBorders>
              <w:right w:val="single" w:color="auto" w:sz="4" w:space="0"/>
            </w:tcBorders>
          </w:tcPr>
          <w:p>
            <w:pPr>
              <w:tabs>
                <w:tab w:val="right" w:pos="2705"/>
              </w:tabs>
              <w:rPr>
                <w:rFonts w:hint="default" w:ascii="宋体" w:hAnsi="宋体"/>
                <w:snapToGrid w:val="0"/>
                <w:kern w:val="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 xml:space="preserve">72120078801100001345  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</w:t>
            </w:r>
          </w:p>
        </w:tc>
        <w:tc>
          <w:tcPr>
            <w:tcW w:w="2792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手续费结算账号</w:t>
            </w:r>
          </w:p>
        </w:tc>
        <w:tc>
          <w:tcPr>
            <w:tcW w:w="2803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 xml:space="preserve">72120078801100001345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电商企业备案号</w:t>
            </w:r>
          </w:p>
        </w:tc>
        <w:tc>
          <w:tcPr>
            <w:tcW w:w="2921" w:type="dxa"/>
            <w:gridSpan w:val="2"/>
            <w:tcBorders>
              <w:right w:val="single" w:color="auto" w:sz="4" w:space="0"/>
            </w:tcBorders>
          </w:tcPr>
          <w:p>
            <w:pPr>
              <w:ind w:firstLine="840" w:firstLineChars="40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792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803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8"/>
            <w:tcBorders>
              <w:bottom w:val="single" w:color="auto" w:sz="12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p>
      <w:pPr>
        <w:widowControl/>
        <w:jc w:val="left"/>
        <w:rPr>
          <w:highlight w:val="none"/>
        </w:rPr>
      </w:pPr>
      <w:r>
        <w:rPr>
          <w:highlight w:val="none"/>
        </w:rPr>
        <w:br w:type="page"/>
      </w:r>
    </w:p>
    <w:tbl>
      <w:tblPr>
        <w:tblStyle w:val="7"/>
        <w:tblpPr w:leftFromText="180" w:rightFromText="180" w:vertAnchor="text" w:horzAnchor="margin" w:tblpXSpec="center" w:tblpY="205"/>
        <w:tblW w:w="1048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127"/>
        <w:gridCol w:w="708"/>
        <w:gridCol w:w="1004"/>
        <w:gridCol w:w="981"/>
        <w:gridCol w:w="992"/>
        <w:gridCol w:w="1263"/>
        <w:gridCol w:w="1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2376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交易类型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本行支付类型</w:t>
            </w:r>
          </w:p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5278" w:type="dxa"/>
            <w:gridSpan w:val="5"/>
            <w:tcBorders>
              <w:top w:val="single" w:color="auto" w:sz="4" w:space="0"/>
              <w:left w:val="single" w:color="auto" w:sz="8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 w:hAnsi="宋体"/>
                <w:szCs w:val="21"/>
                <w:highlight w:val="none"/>
              </w:rPr>
              <w:t>浦发快捷支付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 w:hAnsi="宋体"/>
                <w:szCs w:val="21"/>
                <w:highlight w:val="none"/>
              </w:rPr>
              <w:t>个人网银支付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个人协议支付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快捷支付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□简单</w:t>
            </w:r>
            <w:r>
              <w:rPr>
                <w:rFonts w:hint="eastAsia" w:ascii="宋体" w:hAnsi="宋体"/>
                <w:szCs w:val="21"/>
                <w:highlight w:val="none"/>
              </w:rPr>
              <w:t>快捷支付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2376" w:type="dxa"/>
            <w:vMerge w:val="continue"/>
            <w:tcBorders>
              <w:left w:val="single" w:color="auto" w:sz="12" w:space="0"/>
              <w:right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8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跨行支付类型</w:t>
            </w:r>
          </w:p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5278" w:type="dxa"/>
            <w:gridSpan w:val="5"/>
            <w:tcBorders>
              <w:left w:val="single" w:color="auto" w:sz="8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跨行网关支付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 w:hAnsi="宋体"/>
                <w:szCs w:val="21"/>
                <w:highlight w:val="none"/>
              </w:rPr>
              <w:t>跨行快捷支付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跨行鉴权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跨行一键支付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微信公众号支付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O2O微信支付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O2O支付宝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跨境代扣（预留）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376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8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服务类</w:t>
            </w:r>
          </w:p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5278" w:type="dxa"/>
            <w:gridSpan w:val="5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统一收银台（预留）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跨境支付</w:t>
            </w:r>
          </w:p>
          <w:p>
            <w:pPr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海关信息申报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是否可进行投资理财类交易</w:t>
            </w:r>
          </w:p>
        </w:tc>
        <w:tc>
          <w:tcPr>
            <w:tcW w:w="329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rPr>
                <w:rFonts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 xml:space="preserve">0-否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开通小额免密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>0-否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商户快捷支付签约不发送动态密码</w:t>
            </w:r>
          </w:p>
        </w:tc>
        <w:tc>
          <w:tcPr>
            <w:tcW w:w="230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>0-否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商户快捷支付首次不验证手机号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>0-否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商户快捷支付签约支持身份证、护照、港澳通行证、台胞证全校验</w:t>
            </w:r>
          </w:p>
        </w:tc>
        <w:tc>
          <w:tcPr>
            <w:tcW w:w="230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0-否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利润分配方式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T固定   √R按比率 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03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发卡行分润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商户开户行分润</w:t>
            </w: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735" w:firstLineChars="35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商户发展行分润</w:t>
            </w:r>
          </w:p>
          <w:p>
            <w:pPr>
              <w:ind w:left="-800" w:leftChars="-381" w:firstLine="39" w:firstLineChars="19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%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ind w:left="42" w:firstLine="210" w:firstLineChars="10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100%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总行预留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%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第三方分润</w:t>
            </w: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%</w:t>
            </w:r>
          </w:p>
        </w:tc>
        <w:tc>
          <w:tcPr>
            <w:tcW w:w="126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第三方账号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-</w:t>
            </w:r>
          </w:p>
        </w:tc>
      </w:tr>
    </w:tbl>
    <w:p>
      <w:pPr>
        <w:rPr>
          <w:highlight w:val="none"/>
        </w:rPr>
      </w:pPr>
      <w:r>
        <w:rPr>
          <w:highlight w:val="none"/>
        </w:rPr>
        <w:t xml:space="preserve"> </w:t>
      </w:r>
      <w:r>
        <w:rPr>
          <w:highlight w:val="none"/>
        </w:rPr>
        <w:br w:type="page"/>
      </w:r>
    </w:p>
    <w:tbl>
      <w:tblPr>
        <w:tblStyle w:val="7"/>
        <w:tblpPr w:leftFromText="180" w:rightFromText="180" w:vertAnchor="text" w:horzAnchor="margin" w:tblpXSpec="center" w:tblpY="65"/>
        <w:tblW w:w="1048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59"/>
        <w:gridCol w:w="602"/>
        <w:gridCol w:w="532"/>
        <w:gridCol w:w="851"/>
        <w:gridCol w:w="425"/>
        <w:gridCol w:w="851"/>
        <w:gridCol w:w="141"/>
        <w:gridCol w:w="851"/>
        <w:gridCol w:w="567"/>
        <w:gridCol w:w="1134"/>
        <w:gridCol w:w="283"/>
        <w:gridCol w:w="426"/>
        <w:gridCol w:w="8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489" w:type="dxa"/>
            <w:gridSpan w:val="14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手续费设置表(按实际需求增加行)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交易类型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交易介质类型</w:t>
            </w:r>
          </w:p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（借记卡/信用卡）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业务类别</w:t>
            </w:r>
          </w:p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（实物类、虚拟类、理财类）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产品细分代码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产品细分备注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计费方式</w:t>
            </w:r>
          </w:p>
          <w:p>
            <w:pPr>
              <w:jc w:val="center"/>
              <w:rPr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（0-按交易金额百分比、1-按笔计费、2-包月）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费率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封顶值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默认手续费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*</w:t>
            </w: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0.3%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个人网银支付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借记卡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实物类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0.3% 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个人网银支付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贷记卡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实物类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0.5% 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浦发快捷支付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借记卡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实物类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0.3% 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浦发快捷支付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贷记卡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实物类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0.5% 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0489" w:type="dxa"/>
            <w:gridSpan w:val="14"/>
            <w:tcBorders>
              <w:top w:val="single" w:color="auto" w:sz="6" w:space="0"/>
            </w:tcBorders>
          </w:tcPr>
          <w:p>
            <w:pPr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highlight w:val="none"/>
              </w:rPr>
              <w:t>分段手续费设置（按需增加）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vMerge w:val="restart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分段手续费设置</w:t>
            </w:r>
          </w:p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（3-分段计费）</w:t>
            </w:r>
          </w:p>
        </w:tc>
        <w:tc>
          <w:tcPr>
            <w:tcW w:w="354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类型选择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分段序号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起始金额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结束金额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费率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84" w:type="dxa"/>
            <w:vMerge w:val="continue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按笔收费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交易介质类型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业务类别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产品细分代码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84" w:type="dxa"/>
            <w:vMerge w:val="continue"/>
            <w:tcBorders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产品细分备注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vMerge w:val="restart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分段手续费设置</w:t>
            </w:r>
          </w:p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（3-分段计费）</w:t>
            </w:r>
          </w:p>
        </w:tc>
        <w:tc>
          <w:tcPr>
            <w:tcW w:w="354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类型选择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分段序号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起始金额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结束金额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费率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84" w:type="dxa"/>
            <w:vMerge w:val="continue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按笔收费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交易介质类型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业务类别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产品细分代码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84" w:type="dxa"/>
            <w:vMerge w:val="continue"/>
            <w:tcBorders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产品细分备注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vMerge w:val="restart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分段手续费设置</w:t>
            </w:r>
          </w:p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（3-分段计费）</w:t>
            </w:r>
          </w:p>
        </w:tc>
        <w:tc>
          <w:tcPr>
            <w:tcW w:w="354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类型选择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分段序号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起始金额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结束金额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费率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84" w:type="dxa"/>
            <w:vMerge w:val="continue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按笔收费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交易介质类型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业务类别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产品细分代码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84" w:type="dxa"/>
            <w:vMerge w:val="continue"/>
            <w:tcBorders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产品细分备注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14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</w:tbl>
    <w:p>
      <w:pPr>
        <w:widowControl/>
        <w:jc w:val="left"/>
        <w:rPr>
          <w:rFonts w:ascii="宋体" w:hAnsi="宋体"/>
          <w:snapToGrid w:val="0"/>
          <w:kern w:val="0"/>
          <w:sz w:val="18"/>
          <w:highlight w:val="none"/>
        </w:rPr>
      </w:pPr>
    </w:p>
    <w:p>
      <w:pPr>
        <w:widowControl/>
        <w:jc w:val="left"/>
        <w:rPr>
          <w:rFonts w:ascii="宋体" w:hAnsi="宋体"/>
          <w:snapToGrid w:val="0"/>
          <w:kern w:val="0"/>
          <w:sz w:val="18"/>
          <w:highlight w:val="none"/>
        </w:rPr>
      </w:pPr>
    </w:p>
    <w:tbl>
      <w:tblPr>
        <w:tblStyle w:val="7"/>
        <w:tblpPr w:leftFromText="180" w:rightFromText="180" w:vertAnchor="text" w:horzAnchor="margin" w:tblpXSpec="center" w:tblpY="205"/>
        <w:tblW w:w="1048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835"/>
        <w:gridCol w:w="142"/>
        <w:gridCol w:w="1559"/>
        <w:gridCol w:w="284"/>
        <w:gridCol w:w="32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6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商户清结算及限额信息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结算方式</w:t>
            </w:r>
          </w:p>
        </w:tc>
        <w:tc>
          <w:tcPr>
            <w:tcW w:w="81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√J-差额结算   　□Q-全额结算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结算周期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/>
                <w:highlight w:val="none"/>
              </w:rPr>
              <w:t>1-日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2-一周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3-二周　</w:t>
            </w:r>
          </w:p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4-三周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5-月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6-季　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7-半年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8-一年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手续费结算周期</w:t>
            </w:r>
          </w:p>
        </w:tc>
        <w:tc>
          <w:tcPr>
            <w:tcW w:w="3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keepNext w:val="0"/>
              <w:keepLines w:val="0"/>
              <w:suppressLineNumbers w:val="0"/>
              <w:shd w:val="clear"/>
              <w:spacing w:before="0" w:beforeAutospacing="0" w:after="0" w:afterAutospacing="0"/>
              <w:ind w:left="0" w:right="0"/>
              <w:rPr>
                <w:rFonts w:hint="default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default"/>
                <w:highlight w:val="none"/>
              </w:rPr>
              <w:t>1-</w:t>
            </w:r>
            <w:r>
              <w:rPr>
                <w:rFonts w:hint="eastAsia"/>
                <w:highlight w:val="none"/>
              </w:rPr>
              <w:t xml:space="preserve">日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2-</w:t>
            </w:r>
            <w:r>
              <w:rPr>
                <w:rFonts w:hint="eastAsia"/>
                <w:highlight w:val="none"/>
              </w:rPr>
              <w:t xml:space="preserve">周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3-</w:t>
            </w:r>
            <w:r>
              <w:rPr>
                <w:rFonts w:hint="eastAsia"/>
                <w:highlight w:val="none"/>
              </w:rPr>
              <w:t xml:space="preserve">半月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4-</w:t>
            </w:r>
            <w:r>
              <w:rPr>
                <w:rFonts w:hint="eastAsia"/>
                <w:highlight w:val="none"/>
              </w:rPr>
              <w:t>月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5-</w:t>
            </w:r>
            <w:r>
              <w:rPr>
                <w:rFonts w:hint="eastAsia"/>
                <w:highlight w:val="none"/>
              </w:rPr>
              <w:t xml:space="preserve">季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6-</w:t>
            </w:r>
            <w:r>
              <w:rPr>
                <w:rFonts w:hint="eastAsia"/>
                <w:highlight w:val="none"/>
              </w:rPr>
              <w:t xml:space="preserve">半年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7-</w:t>
            </w:r>
            <w:r>
              <w:rPr>
                <w:rFonts w:hint="eastAsia"/>
                <w:highlight w:val="none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是否退还手续费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√Y-是   □N-否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退货期限</w:t>
            </w:r>
          </w:p>
        </w:tc>
        <w:tc>
          <w:tcPr>
            <w:tcW w:w="3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highlight w:val="none"/>
              </w:rPr>
              <w:t>1-3个月（03）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 w:hAnsi="宋体"/>
                <w:highlight w:val="none"/>
              </w:rPr>
              <w:t>2-6个月（06）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highlight w:val="none"/>
              </w:rPr>
              <w:t>3-9个月（09）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highlight w:val="none"/>
              </w:rPr>
              <w:t>4-12个月（12）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highlight w:val="none"/>
              </w:rPr>
              <w:t>5-14个月（14）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37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清分模式</w:t>
            </w:r>
          </w:p>
        </w:tc>
        <w:tc>
          <w:tcPr>
            <w:tcW w:w="8113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√1单独清算    □2一口清分     □3二次清分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2376" w:type="dxa"/>
            <w:vMerge w:val="restart"/>
            <w:tcBorders>
              <w:top w:val="single" w:color="auto" w:sz="8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协议支付限额</w:t>
            </w:r>
          </w:p>
        </w:tc>
        <w:tc>
          <w:tcPr>
            <w:tcW w:w="2977" w:type="dxa"/>
            <w:gridSpan w:val="2"/>
            <w:tcBorders>
              <w:top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协议支付单笔限额（直接签约）</w:t>
            </w:r>
          </w:p>
        </w:tc>
        <w:tc>
          <w:tcPr>
            <w:tcW w:w="5136" w:type="dxa"/>
            <w:gridSpan w:val="3"/>
            <w:tcBorders>
              <w:top w:val="single" w:color="auto" w:sz="8" w:space="0"/>
            </w:tcBorders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协议支付每日限额（直接签约）</w:t>
            </w:r>
          </w:p>
        </w:tc>
        <w:tc>
          <w:tcPr>
            <w:tcW w:w="5136" w:type="dxa"/>
            <w:gridSpan w:val="3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协议支付单笔限额（专业版签约）</w:t>
            </w:r>
          </w:p>
        </w:tc>
        <w:tc>
          <w:tcPr>
            <w:tcW w:w="5136" w:type="dxa"/>
            <w:gridSpan w:val="3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协议支付每日限额（专业版签约）</w:t>
            </w:r>
          </w:p>
        </w:tc>
        <w:tc>
          <w:tcPr>
            <w:tcW w:w="5136" w:type="dxa"/>
            <w:gridSpan w:val="3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商户快捷支付限额</w:t>
            </w:r>
          </w:p>
        </w:tc>
        <w:tc>
          <w:tcPr>
            <w:tcW w:w="2977" w:type="dxa"/>
            <w:gridSpan w:val="2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商户快捷支付单笔限额</w:t>
            </w:r>
          </w:p>
        </w:tc>
        <w:tc>
          <w:tcPr>
            <w:tcW w:w="5136" w:type="dxa"/>
            <w:gridSpan w:val="3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商户快捷支付单日限额</w:t>
            </w:r>
          </w:p>
        </w:tc>
        <w:tc>
          <w:tcPr>
            <w:tcW w:w="5136" w:type="dxa"/>
            <w:gridSpan w:val="3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商户快捷支付不受单月系统限额控制</w:t>
            </w:r>
          </w:p>
        </w:tc>
        <w:tc>
          <w:tcPr>
            <w:tcW w:w="5136" w:type="dxa"/>
            <w:gridSpan w:val="3"/>
          </w:tcPr>
          <w:p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□否    □是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网银支付单笔限额标志</w:t>
            </w:r>
          </w:p>
        </w:tc>
        <w:tc>
          <w:tcPr>
            <w:tcW w:w="2977" w:type="dxa"/>
            <w:gridSpan w:val="2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√0-有限额　□1-无限额</w:t>
            </w:r>
          </w:p>
        </w:tc>
        <w:tc>
          <w:tcPr>
            <w:tcW w:w="1843" w:type="dxa"/>
            <w:gridSpan w:val="2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网银支付单笔交易限额</w:t>
            </w:r>
          </w:p>
        </w:tc>
        <w:tc>
          <w:tcPr>
            <w:tcW w:w="3293" w:type="dxa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0000元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商户入网日期</w:t>
            </w:r>
          </w:p>
        </w:tc>
        <w:tc>
          <w:tcPr>
            <w:tcW w:w="8113" w:type="dxa"/>
            <w:gridSpan w:val="5"/>
          </w:tcPr>
          <w:p>
            <w:pPr>
              <w:rPr>
                <w:rFonts w:hint="default" w:ascii="宋体" w:hAnsi="宋体" w:eastAsia="宋体"/>
                <w:snapToGrid w:val="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2020.04.28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6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经办人签章：                           复核人签章：                 核准人签章：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操作机构：                                     日期：      年    月    日</w:t>
            </w:r>
          </w:p>
        </w:tc>
      </w:tr>
    </w:tbl>
    <w:p>
      <w:pPr>
        <w:ind w:left="-991" w:leftChars="-472"/>
        <w:rPr>
          <w:rFonts w:ascii="宋体" w:hAnsi="宋体"/>
          <w:snapToGrid w:val="0"/>
          <w:kern w:val="0"/>
          <w:sz w:val="18"/>
        </w:rPr>
      </w:pPr>
    </w:p>
    <w:p>
      <w:pPr>
        <w:ind w:left="-991" w:leftChars="-472"/>
        <w:rPr>
          <w:rFonts w:ascii="宋体" w:hAnsi="宋体"/>
          <w:snapToGrid w:val="0"/>
          <w:kern w:val="0"/>
          <w:sz w:val="18"/>
        </w:rPr>
      </w:pPr>
    </w:p>
    <w:p>
      <w:pPr>
        <w:ind w:left="-991" w:leftChars="-472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本表一式三联，一联由开户行留存，一联签发部门留存，一联作当日传票附件。</w:t>
      </w:r>
    </w:p>
    <w:p>
      <w:pPr>
        <w:ind w:left="-990" w:leftChars="-472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填表说明：</w:t>
      </w:r>
    </w:p>
    <w:p>
      <w:pPr>
        <w:ind w:left="-990" w:leftChars="-472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①在进 行“开户”操作时，商户编号栏由开户行填写，其余业务申请时由签发部门填写；</w:t>
      </w:r>
    </w:p>
    <w:p>
      <w:pPr>
        <w:ind w:left="-990" w:leftChars="-472" w:right="-901" w:rightChars="-429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②在进行除“开户”以外的操作时，商户名称、客户号、商户编号、商户状态为必填项，在进行“电子商户参数修改”或“信息修改”操作时仅仅填需变更信息；</w:t>
      </w:r>
    </w:p>
    <w:p>
      <w:pPr>
        <w:ind w:left="-991" w:leftChars="-472" w:right="-901" w:rightChars="-429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③第三方商户标识说明：终端类：自营类电子商户；平台类：拥有合作供应商提供商品的电子商户；支付机构：获得支付牌照的非金融支付机构</w:t>
      </w:r>
    </w:p>
    <w:p>
      <w:pPr>
        <w:ind w:left="-990" w:leftChars="-472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ascii="宋体" w:hAnsi="宋体"/>
          <w:snapToGrid w:val="0"/>
          <w:kern w:val="0"/>
          <w:sz w:val="18"/>
        </w:rPr>
        <w:fldChar w:fldCharType="begin"/>
      </w:r>
      <w:r>
        <w:rPr>
          <w:rFonts w:ascii="宋体" w:hAnsi="宋体"/>
          <w:snapToGrid w:val="0"/>
          <w:kern w:val="0"/>
          <w:sz w:val="18"/>
        </w:rPr>
        <w:instrText xml:space="preserve"> </w:instrText>
      </w:r>
      <w:r>
        <w:rPr>
          <w:rFonts w:hint="eastAsia" w:ascii="宋体" w:hAnsi="宋体"/>
          <w:snapToGrid w:val="0"/>
          <w:kern w:val="0"/>
          <w:sz w:val="18"/>
        </w:rPr>
        <w:instrText xml:space="preserve">eq \o\ac(○,</w:instrText>
      </w:r>
      <w:r>
        <w:rPr>
          <w:rFonts w:hint="eastAsia" w:ascii="宋体" w:hAnsi="宋体"/>
          <w:snapToGrid w:val="0"/>
          <w:kern w:val="0"/>
          <w:position w:val="2"/>
          <w:sz w:val="18"/>
        </w:rPr>
        <w:instrText xml:space="preserve">4</w:instrText>
      </w:r>
      <w:r>
        <w:rPr>
          <w:rFonts w:hint="eastAsia" w:ascii="宋体" w:hAnsi="宋体"/>
          <w:snapToGrid w:val="0"/>
          <w:kern w:val="0"/>
          <w:sz w:val="18"/>
        </w:rPr>
        <w:instrText xml:space="preserve">)</w:instrText>
      </w:r>
      <w:r>
        <w:rPr>
          <w:rFonts w:ascii="宋体" w:hAnsi="宋体"/>
          <w:snapToGrid w:val="0"/>
          <w:kern w:val="0"/>
          <w:sz w:val="18"/>
        </w:rPr>
        <w:fldChar w:fldCharType="end"/>
      </w:r>
      <w:r>
        <w:rPr>
          <w:rFonts w:hint="eastAsia" w:ascii="宋体" w:hAnsi="宋体"/>
          <w:snapToGrid w:val="0"/>
          <w:kern w:val="0"/>
          <w:sz w:val="18"/>
        </w:rPr>
        <w:t>打“*”字段不允许修改。</w:t>
      </w:r>
    </w:p>
    <w:p>
      <w:pPr>
        <w:ind w:left="-990" w:leftChars="-472" w:right="-901" w:rightChars="-429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ascii="宋体" w:hAnsi="宋体"/>
          <w:snapToGrid w:val="0"/>
          <w:kern w:val="0"/>
          <w:sz w:val="18"/>
        </w:rPr>
        <w:fldChar w:fldCharType="begin"/>
      </w:r>
      <w:r>
        <w:rPr>
          <w:rFonts w:ascii="宋体" w:hAnsi="宋体"/>
          <w:snapToGrid w:val="0"/>
          <w:kern w:val="0"/>
          <w:sz w:val="18"/>
        </w:rPr>
        <w:instrText xml:space="preserve"> </w:instrText>
      </w:r>
      <w:r>
        <w:rPr>
          <w:rFonts w:hint="eastAsia" w:ascii="宋体" w:hAnsi="宋体"/>
          <w:snapToGrid w:val="0"/>
          <w:kern w:val="0"/>
          <w:sz w:val="18"/>
        </w:rPr>
        <w:instrText xml:space="preserve">eq \o\ac(○,</w:instrText>
      </w:r>
      <w:r>
        <w:rPr>
          <w:rFonts w:hint="eastAsia" w:ascii="宋体" w:hAnsi="宋体"/>
          <w:snapToGrid w:val="0"/>
          <w:kern w:val="0"/>
          <w:position w:val="2"/>
          <w:sz w:val="12"/>
        </w:rPr>
        <w:instrText xml:space="preserve">5</w:instrText>
      </w:r>
      <w:r>
        <w:rPr>
          <w:rFonts w:hint="eastAsia" w:ascii="宋体" w:hAnsi="宋体"/>
          <w:snapToGrid w:val="0"/>
          <w:kern w:val="0"/>
          <w:sz w:val="18"/>
        </w:rPr>
        <w:instrText xml:space="preserve">)</w:instrText>
      </w:r>
      <w:r>
        <w:rPr>
          <w:rFonts w:ascii="宋体" w:hAnsi="宋体"/>
          <w:snapToGrid w:val="0"/>
          <w:kern w:val="0"/>
          <w:sz w:val="18"/>
        </w:rPr>
        <w:fldChar w:fldCharType="end"/>
      </w:r>
      <w:r>
        <w:rPr>
          <w:rFonts w:hint="eastAsia" w:ascii="宋体" w:hAnsi="宋体"/>
          <w:snapToGrid w:val="0"/>
          <w:kern w:val="0"/>
          <w:sz w:val="18"/>
        </w:rPr>
        <w:t>“申请种类”选择“跨行收单服务商”时，“交易类型”仅可以选择4-跨行网关支付、5-跨行快捷支付、6-跨行代扣。</w:t>
      </w:r>
    </w:p>
    <w:p>
      <w:pPr>
        <w:ind w:left="-991" w:leftChars="-47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4F2"/>
    <w:rsid w:val="00011FF8"/>
    <w:rsid w:val="00053722"/>
    <w:rsid w:val="000B3F0B"/>
    <w:rsid w:val="000C74D6"/>
    <w:rsid w:val="000D034D"/>
    <w:rsid w:val="000D41DB"/>
    <w:rsid w:val="000D79F6"/>
    <w:rsid w:val="000D7B21"/>
    <w:rsid w:val="000F7181"/>
    <w:rsid w:val="00102CEE"/>
    <w:rsid w:val="00113EF4"/>
    <w:rsid w:val="00116D51"/>
    <w:rsid w:val="00121299"/>
    <w:rsid w:val="00151152"/>
    <w:rsid w:val="00157E7C"/>
    <w:rsid w:val="00164FCF"/>
    <w:rsid w:val="00197901"/>
    <w:rsid w:val="001B41C1"/>
    <w:rsid w:val="001D4789"/>
    <w:rsid w:val="001E3B49"/>
    <w:rsid w:val="001E6952"/>
    <w:rsid w:val="00210F10"/>
    <w:rsid w:val="0021192B"/>
    <w:rsid w:val="002217C1"/>
    <w:rsid w:val="002466DA"/>
    <w:rsid w:val="00253B9E"/>
    <w:rsid w:val="00262176"/>
    <w:rsid w:val="00272BBC"/>
    <w:rsid w:val="0029641F"/>
    <w:rsid w:val="002C082E"/>
    <w:rsid w:val="002C64FB"/>
    <w:rsid w:val="002C7659"/>
    <w:rsid w:val="002D72FF"/>
    <w:rsid w:val="002F4DD4"/>
    <w:rsid w:val="00326E24"/>
    <w:rsid w:val="0034160C"/>
    <w:rsid w:val="00372AE4"/>
    <w:rsid w:val="003927C8"/>
    <w:rsid w:val="00396C2A"/>
    <w:rsid w:val="003A1E96"/>
    <w:rsid w:val="003B3FB7"/>
    <w:rsid w:val="004000B4"/>
    <w:rsid w:val="004004DC"/>
    <w:rsid w:val="0045175E"/>
    <w:rsid w:val="00455B4C"/>
    <w:rsid w:val="00491BD9"/>
    <w:rsid w:val="00496516"/>
    <w:rsid w:val="004A48D0"/>
    <w:rsid w:val="004A6C38"/>
    <w:rsid w:val="004B0498"/>
    <w:rsid w:val="004B6289"/>
    <w:rsid w:val="004B6469"/>
    <w:rsid w:val="004E1E49"/>
    <w:rsid w:val="004E7133"/>
    <w:rsid w:val="004F6461"/>
    <w:rsid w:val="00521731"/>
    <w:rsid w:val="00527628"/>
    <w:rsid w:val="00551E6B"/>
    <w:rsid w:val="005665EC"/>
    <w:rsid w:val="00577F00"/>
    <w:rsid w:val="00597E43"/>
    <w:rsid w:val="005A1666"/>
    <w:rsid w:val="005A57C4"/>
    <w:rsid w:val="005C6AE2"/>
    <w:rsid w:val="005D2247"/>
    <w:rsid w:val="005D22ED"/>
    <w:rsid w:val="005D3578"/>
    <w:rsid w:val="005D639F"/>
    <w:rsid w:val="005E00C2"/>
    <w:rsid w:val="005E5CB4"/>
    <w:rsid w:val="00602C44"/>
    <w:rsid w:val="00610A1B"/>
    <w:rsid w:val="006143CC"/>
    <w:rsid w:val="006176E5"/>
    <w:rsid w:val="00634D44"/>
    <w:rsid w:val="006452E8"/>
    <w:rsid w:val="00650F16"/>
    <w:rsid w:val="00652F6D"/>
    <w:rsid w:val="00653B01"/>
    <w:rsid w:val="00655652"/>
    <w:rsid w:val="00662FA5"/>
    <w:rsid w:val="006630D1"/>
    <w:rsid w:val="0068372D"/>
    <w:rsid w:val="006A27A9"/>
    <w:rsid w:val="006B1253"/>
    <w:rsid w:val="006C04AB"/>
    <w:rsid w:val="006D0358"/>
    <w:rsid w:val="006F5D37"/>
    <w:rsid w:val="00720EF4"/>
    <w:rsid w:val="00741E35"/>
    <w:rsid w:val="007645FB"/>
    <w:rsid w:val="00770C36"/>
    <w:rsid w:val="007B75F8"/>
    <w:rsid w:val="007D72F3"/>
    <w:rsid w:val="00802F2F"/>
    <w:rsid w:val="008136ED"/>
    <w:rsid w:val="0082473B"/>
    <w:rsid w:val="00837F6B"/>
    <w:rsid w:val="00843759"/>
    <w:rsid w:val="00846A0C"/>
    <w:rsid w:val="00871B8B"/>
    <w:rsid w:val="008F35B4"/>
    <w:rsid w:val="008F75D0"/>
    <w:rsid w:val="00914D49"/>
    <w:rsid w:val="00936481"/>
    <w:rsid w:val="00943C21"/>
    <w:rsid w:val="00986B55"/>
    <w:rsid w:val="009A1D88"/>
    <w:rsid w:val="009D5CCC"/>
    <w:rsid w:val="009F0CD6"/>
    <w:rsid w:val="009F3AF8"/>
    <w:rsid w:val="00A03847"/>
    <w:rsid w:val="00A03F5D"/>
    <w:rsid w:val="00A312EE"/>
    <w:rsid w:val="00A33FED"/>
    <w:rsid w:val="00A36761"/>
    <w:rsid w:val="00A443F7"/>
    <w:rsid w:val="00A80998"/>
    <w:rsid w:val="00A946AA"/>
    <w:rsid w:val="00A95EB9"/>
    <w:rsid w:val="00AA0A7B"/>
    <w:rsid w:val="00AA7BD9"/>
    <w:rsid w:val="00AD494A"/>
    <w:rsid w:val="00B0626F"/>
    <w:rsid w:val="00B15098"/>
    <w:rsid w:val="00B2062A"/>
    <w:rsid w:val="00B521D1"/>
    <w:rsid w:val="00B5256C"/>
    <w:rsid w:val="00B72004"/>
    <w:rsid w:val="00B8142F"/>
    <w:rsid w:val="00B84AE5"/>
    <w:rsid w:val="00B92AEF"/>
    <w:rsid w:val="00B95A68"/>
    <w:rsid w:val="00BB2C93"/>
    <w:rsid w:val="00BD7B59"/>
    <w:rsid w:val="00C14443"/>
    <w:rsid w:val="00C2612A"/>
    <w:rsid w:val="00C46353"/>
    <w:rsid w:val="00C63A2B"/>
    <w:rsid w:val="00C77FE2"/>
    <w:rsid w:val="00C86A2D"/>
    <w:rsid w:val="00CB3587"/>
    <w:rsid w:val="00CB4AC2"/>
    <w:rsid w:val="00CC6327"/>
    <w:rsid w:val="00CF6B5A"/>
    <w:rsid w:val="00D1589A"/>
    <w:rsid w:val="00D21E0B"/>
    <w:rsid w:val="00D344F2"/>
    <w:rsid w:val="00D53813"/>
    <w:rsid w:val="00D97D8D"/>
    <w:rsid w:val="00DB5411"/>
    <w:rsid w:val="00DB7642"/>
    <w:rsid w:val="00DC67C5"/>
    <w:rsid w:val="00DC723F"/>
    <w:rsid w:val="00E02D14"/>
    <w:rsid w:val="00E14132"/>
    <w:rsid w:val="00E1571A"/>
    <w:rsid w:val="00E25970"/>
    <w:rsid w:val="00E35D9B"/>
    <w:rsid w:val="00E40FF9"/>
    <w:rsid w:val="00E5771B"/>
    <w:rsid w:val="00E738E2"/>
    <w:rsid w:val="00E8544C"/>
    <w:rsid w:val="00E92A8F"/>
    <w:rsid w:val="00F223D3"/>
    <w:rsid w:val="00F230E4"/>
    <w:rsid w:val="00F347BB"/>
    <w:rsid w:val="00F36F5B"/>
    <w:rsid w:val="00F3763C"/>
    <w:rsid w:val="00F56C6A"/>
    <w:rsid w:val="00F618A5"/>
    <w:rsid w:val="00F61ADA"/>
    <w:rsid w:val="00F64C9A"/>
    <w:rsid w:val="00F74D95"/>
    <w:rsid w:val="00F82609"/>
    <w:rsid w:val="00F954CF"/>
    <w:rsid w:val="00FC2D9D"/>
    <w:rsid w:val="00FD0873"/>
    <w:rsid w:val="00FD4A5B"/>
    <w:rsid w:val="00FD5BBC"/>
    <w:rsid w:val="00FE4BDE"/>
    <w:rsid w:val="08560767"/>
    <w:rsid w:val="09284D06"/>
    <w:rsid w:val="09852EA9"/>
    <w:rsid w:val="09A873A5"/>
    <w:rsid w:val="0D054ABB"/>
    <w:rsid w:val="0FC75322"/>
    <w:rsid w:val="10642644"/>
    <w:rsid w:val="13E616B3"/>
    <w:rsid w:val="15E87C17"/>
    <w:rsid w:val="170F2F98"/>
    <w:rsid w:val="1DAE4273"/>
    <w:rsid w:val="20151B59"/>
    <w:rsid w:val="269C429F"/>
    <w:rsid w:val="2EB30CA0"/>
    <w:rsid w:val="32956FE6"/>
    <w:rsid w:val="32A923F5"/>
    <w:rsid w:val="35131776"/>
    <w:rsid w:val="375543D6"/>
    <w:rsid w:val="378815BF"/>
    <w:rsid w:val="39D57ADB"/>
    <w:rsid w:val="3E4066C9"/>
    <w:rsid w:val="3FA069C9"/>
    <w:rsid w:val="42F15C2B"/>
    <w:rsid w:val="4AE9032F"/>
    <w:rsid w:val="526B44E1"/>
    <w:rsid w:val="54D73D6A"/>
    <w:rsid w:val="57B75755"/>
    <w:rsid w:val="591C3455"/>
    <w:rsid w:val="5AEB2768"/>
    <w:rsid w:val="5CCE629A"/>
    <w:rsid w:val="5F7C56DE"/>
    <w:rsid w:val="64377D60"/>
    <w:rsid w:val="7022194D"/>
    <w:rsid w:val="73B52CA7"/>
    <w:rsid w:val="7B977ECF"/>
    <w:rsid w:val="7C2E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character" w:styleId="9">
    <w:name w:val="FollowedHyperlink"/>
    <w:basedOn w:val="8"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2">
    <w:name w:val="批注文字 Char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批注主题 Char"/>
    <w:basedOn w:val="12"/>
    <w:link w:val="6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398</Words>
  <Characters>2270</Characters>
  <Lines>18</Lines>
  <Paragraphs>5</Paragraphs>
  <TotalTime>19</TotalTime>
  <ScaleCrop>false</ScaleCrop>
  <LinksUpToDate>false</LinksUpToDate>
  <CharactersWithSpaces>2663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2020-04-09T10:26:00Z</dcterms:created>
  <dc:creator>user</dc:creator>
  <cp:lastModifiedBy>唐豆豆</cp:lastModifiedBy>
  <cp:lastPrinted>2017-02-06T06:29:00Z</cp:lastPrinted>
  <dcterms:modified xsi:type="dcterms:W3CDTF">2020-11-19T03:08:51Z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