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893" w:rsidRDefault="001E0893" w:rsidP="001E0893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项目上线流程及要求</w:t>
      </w:r>
    </w:p>
    <w:p w:rsidR="001E0893" w:rsidRDefault="001E0893" w:rsidP="001E0893">
      <w:pPr>
        <w:pStyle w:val="a5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分行项目上线流程主要分为上报、审批、对接、上线运营四个阶段，具体如下： </w:t>
      </w:r>
    </w:p>
    <w:p w:rsidR="001E0893" w:rsidRDefault="001E0893" w:rsidP="001E0893">
      <w:pPr>
        <w:pStyle w:val="a5"/>
        <w:ind w:left="1280"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lastRenderedPageBreak/>
        <w:drawing>
          <wp:inline distT="0" distB="0" distL="0" distR="0">
            <wp:extent cx="4978400" cy="8515350"/>
            <wp:effectExtent l="0" t="0" r="8890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1E0893" w:rsidRDefault="001E0893" w:rsidP="001E0893">
      <w:pPr>
        <w:pStyle w:val="a5"/>
        <w:ind w:left="1280" w:firstLineChars="0" w:firstLine="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E0893" w:rsidRDefault="001E0893" w:rsidP="001E0893">
      <w:pPr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二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、其它要求</w:t>
      </w:r>
    </w:p>
    <w:p w:rsidR="001E0893" w:rsidRDefault="001E0893" w:rsidP="001E0893">
      <w:pPr>
        <w:pStyle w:val="a5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分行项目上报，一经总行批准，应及时开展对接工作；对于头部商户，若总行批准后一个月内无明显进展，则该商户可由其它分行继续拓展。</w:t>
      </w:r>
    </w:p>
    <w:p w:rsidR="001E0893" w:rsidRDefault="001E0893" w:rsidP="001E0893">
      <w:pPr>
        <w:pStyle w:val="a5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分行需按周（每周四下班前）向总行联系人上报《小浦支付项目进度表》，及时更新项目进度。</w:t>
      </w:r>
    </w:p>
    <w:p w:rsidR="00EA7F8F" w:rsidRDefault="00EA7F8F" w:rsidP="001E0893">
      <w:bookmarkStart w:id="0" w:name="_GoBack"/>
      <w:bookmarkEnd w:id="0"/>
    </w:p>
    <w:sectPr w:rsidR="00EA7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F78" w:rsidRDefault="000C6F78" w:rsidP="001E0893">
      <w:r>
        <w:separator/>
      </w:r>
    </w:p>
  </w:endnote>
  <w:endnote w:type="continuationSeparator" w:id="0">
    <w:p w:rsidR="000C6F78" w:rsidRDefault="000C6F78" w:rsidP="001E0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F78" w:rsidRDefault="000C6F78" w:rsidP="001E0893">
      <w:r>
        <w:separator/>
      </w:r>
    </w:p>
  </w:footnote>
  <w:footnote w:type="continuationSeparator" w:id="0">
    <w:p w:rsidR="000C6F78" w:rsidRDefault="000C6F78" w:rsidP="001E08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21A0D"/>
    <w:multiLevelType w:val="multilevel"/>
    <w:tmpl w:val="7CA21A0D"/>
    <w:lvl w:ilvl="0">
      <w:start w:val="1"/>
      <w:numFmt w:val="japaneseCounting"/>
      <w:lvlText w:val="%1、"/>
      <w:lvlJc w:val="left"/>
      <w:pPr>
        <w:ind w:left="1280" w:hanging="64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091"/>
    <w:rsid w:val="000C6F78"/>
    <w:rsid w:val="001E0893"/>
    <w:rsid w:val="00A52091"/>
    <w:rsid w:val="00EA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8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893"/>
    <w:rPr>
      <w:sz w:val="18"/>
      <w:szCs w:val="18"/>
    </w:rPr>
  </w:style>
  <w:style w:type="paragraph" w:styleId="a5">
    <w:name w:val="List Paragraph"/>
    <w:basedOn w:val="a"/>
    <w:uiPriority w:val="34"/>
    <w:qFormat/>
    <w:rsid w:val="001E089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E08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08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8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893"/>
    <w:rPr>
      <w:sz w:val="18"/>
      <w:szCs w:val="18"/>
    </w:rPr>
  </w:style>
  <w:style w:type="paragraph" w:styleId="a5">
    <w:name w:val="List Paragraph"/>
    <w:basedOn w:val="a"/>
    <w:uiPriority w:val="34"/>
    <w:qFormat/>
    <w:rsid w:val="001E089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E08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08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1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330ED19-E601-4A57-9A99-91EEBEB95CA8}" type="doc">
      <dgm:prSet loTypeId="urn:microsoft.com/office/officeart/2005/8/layout/chevron2" loCatId="process" qsTypeId="urn:microsoft.com/office/officeart/2005/8/quickstyle/simple1#1" qsCatId="simple" csTypeId="urn:microsoft.com/office/officeart/2005/8/colors/accent1_2#1" csCatId="accent1" phldr="1"/>
      <dgm:spPr/>
      <dgm:t>
        <a:bodyPr/>
        <a:lstStyle/>
        <a:p>
          <a:endParaRPr lang="zh-CN" altLang="en-US"/>
        </a:p>
      </dgm:t>
    </dgm:pt>
    <dgm:pt modelId="{3E80864B-38F8-4D96-A5DD-6374DB369C9B}">
      <dgm:prSet phldrT="[文本]" custT="1"/>
      <dgm:spPr/>
      <dgm:t>
        <a:bodyPr/>
        <a:lstStyle/>
        <a:p>
          <a:r>
            <a:rPr lang="zh-CN" altLang="en-US" sz="1400">
              <a:latin typeface="仿宋_GB2312" panose="02010609030101010101" pitchFamily="3" charset="-122"/>
              <a:ea typeface="仿宋_GB2312" panose="02010609030101010101" pitchFamily="3" charset="-122"/>
            </a:rPr>
            <a:t>立项</a:t>
          </a:r>
        </a:p>
      </dgm:t>
    </dgm:pt>
    <dgm:pt modelId="{3E50E45E-66C7-47F5-8ABB-74633FA3F962}" type="parTrans" cxnId="{690C9B35-67F7-469E-938A-FD38F7FA51D2}">
      <dgm:prSet/>
      <dgm:spPr/>
      <dgm:t>
        <a:bodyPr/>
        <a:lstStyle/>
        <a:p>
          <a:endParaRPr lang="zh-CN" altLang="en-US"/>
        </a:p>
      </dgm:t>
    </dgm:pt>
    <dgm:pt modelId="{6C65B0AE-29E3-4E6C-9AB9-6835544817CF}" type="sibTrans" cxnId="{690C9B35-67F7-469E-938A-FD38F7FA51D2}">
      <dgm:prSet/>
      <dgm:spPr/>
      <dgm:t>
        <a:bodyPr/>
        <a:lstStyle/>
        <a:p>
          <a:endParaRPr lang="zh-CN" altLang="en-US"/>
        </a:p>
      </dgm:t>
    </dgm:pt>
    <dgm:pt modelId="{EAC0728A-201F-43FB-B5A5-41F4252F1268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分行上报立项材料（参照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《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浦银办发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〔2015〕116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号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关于印发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&lt;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上海浦东发展银行个人互联网支付业务（间联跨行收单）管理规程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&gt;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和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&lt;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上海浦东发展银行个人互联网支付业务（间联跨行收单）会计核算办法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&gt;</a:t>
          </a:r>
          <a:r>
            <a:rPr lang="zh-CN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等规章制度的通知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》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内要求的相关立项材料）及营销活动方案（如有）</a:t>
          </a:r>
        </a:p>
      </dgm:t>
    </dgm:pt>
    <dgm:pt modelId="{22DDC132-F11C-4949-87B7-FB65B89FC970}" type="parTrans" cxnId="{3B7C987C-FFD1-42C8-A0C4-5717FD237575}">
      <dgm:prSet/>
      <dgm:spPr/>
      <dgm:t>
        <a:bodyPr/>
        <a:lstStyle/>
        <a:p>
          <a:endParaRPr lang="zh-CN" altLang="en-US"/>
        </a:p>
      </dgm:t>
    </dgm:pt>
    <dgm:pt modelId="{32AC94D7-96C6-4536-B0BD-582F5FD7B04E}" type="sibTrans" cxnId="{3B7C987C-FFD1-42C8-A0C4-5717FD237575}">
      <dgm:prSet/>
      <dgm:spPr/>
      <dgm:t>
        <a:bodyPr/>
        <a:lstStyle/>
        <a:p>
          <a:endParaRPr lang="zh-CN" altLang="en-US"/>
        </a:p>
      </dgm:t>
    </dgm:pt>
    <dgm:pt modelId="{73EAFE4E-89F6-46EF-A152-E5E4E6604A16}">
      <dgm:prSet phldrT="[文本]" custT="1"/>
      <dgm:spPr/>
      <dgm:t>
        <a:bodyPr/>
        <a:lstStyle/>
        <a:p>
          <a:r>
            <a:rPr lang="zh-CN" altLang="en-US" sz="1400">
              <a:latin typeface="仿宋_GB2312" panose="02010609030101010101" pitchFamily="3" charset="-122"/>
              <a:ea typeface="仿宋_GB2312" panose="02010609030101010101" pitchFamily="3" charset="-122"/>
            </a:rPr>
            <a:t>审批</a:t>
          </a:r>
        </a:p>
      </dgm:t>
    </dgm:pt>
    <dgm:pt modelId="{5014AA0E-3169-4605-9B51-41C3A2458F61}" type="parTrans" cxnId="{8149AC1D-BB35-433C-B239-9D5C5A0B78F6}">
      <dgm:prSet/>
      <dgm:spPr/>
      <dgm:t>
        <a:bodyPr/>
        <a:lstStyle/>
        <a:p>
          <a:endParaRPr lang="zh-CN" altLang="en-US"/>
        </a:p>
      </dgm:t>
    </dgm:pt>
    <dgm:pt modelId="{548C5E3F-15AF-47B5-A221-228A691C354C}" type="sibTrans" cxnId="{8149AC1D-BB35-433C-B239-9D5C5A0B78F6}">
      <dgm:prSet/>
      <dgm:spPr/>
      <dgm:t>
        <a:bodyPr/>
        <a:lstStyle/>
        <a:p>
          <a:endParaRPr lang="zh-CN" altLang="en-US"/>
        </a:p>
      </dgm:t>
    </dgm:pt>
    <dgm:pt modelId="{EA089181-D9FB-432B-B237-DBB3C9FA7749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总行于三个工作日回复审批意见及合作费率、额度</a:t>
          </a:r>
        </a:p>
      </dgm:t>
    </dgm:pt>
    <dgm:pt modelId="{96D6ADB4-FE35-46A3-8136-F67C7DB35362}" type="parTrans" cxnId="{320E6EE7-D8EE-4950-A6A5-C9C9A16F85B1}">
      <dgm:prSet/>
      <dgm:spPr/>
      <dgm:t>
        <a:bodyPr/>
        <a:lstStyle/>
        <a:p>
          <a:endParaRPr lang="zh-CN" altLang="en-US"/>
        </a:p>
      </dgm:t>
    </dgm:pt>
    <dgm:pt modelId="{2D536577-38DE-4485-9C21-BA03E73D16CD}" type="sibTrans" cxnId="{320E6EE7-D8EE-4950-A6A5-C9C9A16F85B1}">
      <dgm:prSet/>
      <dgm:spPr/>
      <dgm:t>
        <a:bodyPr/>
        <a:lstStyle/>
        <a:p>
          <a:endParaRPr lang="zh-CN" altLang="en-US"/>
        </a:p>
      </dgm:t>
    </dgm:pt>
    <dgm:pt modelId="{FCE7CD0D-7F93-4307-BAB8-5EC7FAAC1EAE}">
      <dgm:prSet phldrT="[文本]" custT="1"/>
      <dgm:spPr/>
      <dgm:t>
        <a:bodyPr/>
        <a:lstStyle/>
        <a:p>
          <a:r>
            <a:rPr lang="zh-CN" altLang="en-US" sz="1400">
              <a:latin typeface="仿宋_GB2312" panose="02010609030101010101" pitchFamily="3" charset="-122"/>
              <a:ea typeface="仿宋_GB2312" panose="02010609030101010101" pitchFamily="3" charset="-122"/>
            </a:rPr>
            <a:t>对接</a:t>
          </a:r>
        </a:p>
      </dgm:t>
    </dgm:pt>
    <dgm:pt modelId="{6DB84146-A263-4E61-9158-A25E1CD71738}" type="parTrans" cxnId="{02652FAA-B03E-427D-9F0B-C24A493E2F4C}">
      <dgm:prSet/>
      <dgm:spPr/>
      <dgm:t>
        <a:bodyPr/>
        <a:lstStyle/>
        <a:p>
          <a:endParaRPr lang="zh-CN" altLang="en-US"/>
        </a:p>
      </dgm:t>
    </dgm:pt>
    <dgm:pt modelId="{CFEB9FF5-4324-4BF5-B9AE-DEC387317F55}" type="sibTrans" cxnId="{02652FAA-B03E-427D-9F0B-C24A493E2F4C}">
      <dgm:prSet/>
      <dgm:spPr/>
      <dgm:t>
        <a:bodyPr/>
        <a:lstStyle/>
        <a:p>
          <a:endParaRPr lang="zh-CN" altLang="en-US"/>
        </a:p>
      </dgm:t>
    </dgm:pt>
    <dgm:pt modelId="{36F8919A-785B-4F8F-B2F0-C4F2B4F9B74F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技术对接：分行向商户提供接口文档→牵头建立技术对接微信群→商户开发→双方联调→（商户号完成参数配置）上线；</a:t>
          </a:r>
        </a:p>
      </dgm:t>
    </dgm:pt>
    <dgm:pt modelId="{2D231F2C-9965-4295-ACAE-FB6B9F0A4EBA}" type="parTrans" cxnId="{714D6BF9-D937-4332-AEC0-4F2644EFE7FE}">
      <dgm:prSet/>
      <dgm:spPr/>
      <dgm:t>
        <a:bodyPr/>
        <a:lstStyle/>
        <a:p>
          <a:endParaRPr lang="zh-CN" altLang="en-US"/>
        </a:p>
      </dgm:t>
    </dgm:pt>
    <dgm:pt modelId="{AD350F61-F285-4A1A-83D5-D4780A4AC53C}" type="sibTrans" cxnId="{714D6BF9-D937-4332-AEC0-4F2644EFE7FE}">
      <dgm:prSet/>
      <dgm:spPr/>
      <dgm:t>
        <a:bodyPr/>
        <a:lstStyle/>
        <a:p>
          <a:endParaRPr lang="zh-CN" altLang="en-US"/>
        </a:p>
      </dgm:t>
    </dgm:pt>
    <dgm:pt modelId="{7D1C4484-3657-4714-BE44-B39D0B59E511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商务对接：分行向商户提供我行管理办法中提供的标准协议（如有修改，需走分行法审流程），牵头建立商务对接群，沟通协议签署、商户号开立及柜面配置等商务工作，具体如下：</a:t>
          </a:r>
        </a:p>
      </dgm:t>
    </dgm:pt>
    <dgm:pt modelId="{E926B995-D69C-41B7-AED8-5C4B6B9003D4}" type="parTrans" cxnId="{51D67F9C-6398-4D65-922A-B2F311013294}">
      <dgm:prSet/>
      <dgm:spPr/>
      <dgm:t>
        <a:bodyPr/>
        <a:lstStyle/>
        <a:p>
          <a:endParaRPr lang="zh-CN" altLang="en-US"/>
        </a:p>
      </dgm:t>
    </dgm:pt>
    <dgm:pt modelId="{3716DC5E-02EE-4B25-ABDD-CEEFCB9CF97B}" type="sibTrans" cxnId="{51D67F9C-6398-4D65-922A-B2F311013294}">
      <dgm:prSet/>
      <dgm:spPr/>
      <dgm:t>
        <a:bodyPr/>
        <a:lstStyle/>
        <a:p>
          <a:endParaRPr lang="zh-CN" altLang="en-US"/>
        </a:p>
      </dgm:t>
    </dgm:pt>
    <dgm:pt modelId="{60DAE803-A75F-4EAC-9686-672ECC642B38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前期沟通</a:t>
          </a:r>
        </a:p>
      </dgm:t>
    </dgm:pt>
    <dgm:pt modelId="{2B942F5E-7D78-4EC2-B89E-685601E384ED}" type="parTrans" cxnId="{4BEFB1BE-CCDA-4CFA-868D-45DE7753E71F}">
      <dgm:prSet/>
      <dgm:spPr/>
      <dgm:t>
        <a:bodyPr/>
        <a:lstStyle/>
        <a:p>
          <a:endParaRPr lang="zh-CN" altLang="en-US"/>
        </a:p>
      </dgm:t>
    </dgm:pt>
    <dgm:pt modelId="{41DF2701-7152-485D-890E-38101D47D558}" type="sibTrans" cxnId="{4BEFB1BE-CCDA-4CFA-868D-45DE7753E71F}">
      <dgm:prSet/>
      <dgm:spPr/>
      <dgm:t>
        <a:bodyPr/>
        <a:lstStyle/>
        <a:p>
          <a:endParaRPr lang="zh-CN" altLang="en-US"/>
        </a:p>
      </dgm:t>
    </dgm:pt>
    <dgm:pt modelId="{9AF7976E-98E5-417B-BCB7-423659B87E70}">
      <dgm:prSet phldrT="[文本]" custT="1"/>
      <dgm:spPr/>
      <dgm:t>
        <a:bodyPr/>
        <a:lstStyle/>
        <a:p>
          <a:r>
            <a:rPr lang="zh-CN" altLang="en-US" sz="1200">
              <a:latin typeface="仿宋_GB2312" panose="02010609030101010101" pitchFamily="3" charset="-122"/>
              <a:ea typeface="仿宋_GB2312" panose="02010609030101010101" pitchFamily="3" charset="-122"/>
            </a:rPr>
            <a:t>上线运营</a:t>
          </a:r>
        </a:p>
      </dgm:t>
    </dgm:pt>
    <dgm:pt modelId="{256CB89A-EE44-4AAC-A7DF-BD69CDA1F26A}" type="parTrans" cxnId="{1DAE8264-4F9A-43FC-9BD8-8A960C459123}">
      <dgm:prSet/>
      <dgm:spPr/>
      <dgm:t>
        <a:bodyPr/>
        <a:lstStyle/>
        <a:p>
          <a:endParaRPr lang="zh-CN" altLang="en-US"/>
        </a:p>
      </dgm:t>
    </dgm:pt>
    <dgm:pt modelId="{678C3660-F028-442D-8CC8-694D6F9B5F48}" type="sibTrans" cxnId="{1DAE8264-4F9A-43FC-9BD8-8A960C459123}">
      <dgm:prSet/>
      <dgm:spPr/>
      <dgm:t>
        <a:bodyPr/>
        <a:lstStyle/>
        <a:p>
          <a:endParaRPr lang="zh-CN" altLang="en-US"/>
        </a:p>
      </dgm:t>
    </dgm:pt>
    <dgm:pt modelId="{90C38F60-0FB0-4657-A39F-84E2E727F83F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申请总行营销费用：分行上报营销活动方案→总行对活动形式及预算进行修订和审批→审批通过后，由总行向商户支付相关费用→原则上由总行</a:t>
          </a:r>
          <a:r>
            <a:rPr lang="zh-CN" altLang="en-US" sz="1000" b="0">
              <a:solidFill>
                <a:schemeClr val="tx1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与商户签署营销合作协议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→活动开展期间</a:t>
          </a:r>
          <a:r>
            <a:rPr lang="zh-CN" altLang="en-US" sz="1000" b="0">
              <a:solidFill>
                <a:schemeClr val="tx1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分行做好营销活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动跟进，若活动开展后效果不如预期，应及时与总行沟通，调整活动方案；</a:t>
          </a:r>
        </a:p>
      </dgm:t>
    </dgm:pt>
    <dgm:pt modelId="{64ABABB7-0AC0-435D-A982-1C61CA63BA5E}" type="parTrans" cxnId="{4E1E1AE8-E288-4B37-8734-210B9C4BB770}">
      <dgm:prSet/>
      <dgm:spPr/>
      <dgm:t>
        <a:bodyPr/>
        <a:lstStyle/>
        <a:p>
          <a:endParaRPr lang="zh-CN" altLang="en-US"/>
        </a:p>
      </dgm:t>
    </dgm:pt>
    <dgm:pt modelId="{E898CF58-A866-45A5-8935-BF62A394500C}" type="sibTrans" cxnId="{4E1E1AE8-E288-4B37-8734-210B9C4BB770}">
      <dgm:prSet/>
      <dgm:spPr/>
      <dgm:t>
        <a:bodyPr/>
        <a:lstStyle/>
        <a:p>
          <a:endParaRPr lang="zh-CN" altLang="en-US"/>
        </a:p>
      </dgm:t>
    </dgm:pt>
    <dgm:pt modelId="{4D54D130-7CAC-4356-9D62-05AB06EFCBD7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申请分行营销费用：对于部分重点商户，分行根据自身推广策略，可开展分行营销活动，费用由商户拓展分行自行承担。</a:t>
          </a:r>
        </a:p>
      </dgm:t>
    </dgm:pt>
    <dgm:pt modelId="{08BAB5B7-7FC9-40A2-961A-13B7D2284B5A}" type="parTrans" cxnId="{B75B2073-45C0-4817-BC6C-7331D2B2FA6F}">
      <dgm:prSet/>
      <dgm:spPr/>
      <dgm:t>
        <a:bodyPr/>
        <a:lstStyle/>
        <a:p>
          <a:endParaRPr lang="zh-CN" altLang="en-US"/>
        </a:p>
      </dgm:t>
    </dgm:pt>
    <dgm:pt modelId="{8BDD4DCF-C410-4933-99E9-F3C613568B93}" type="sibTrans" cxnId="{B75B2073-45C0-4817-BC6C-7331D2B2FA6F}">
      <dgm:prSet/>
      <dgm:spPr/>
      <dgm:t>
        <a:bodyPr/>
        <a:lstStyle/>
        <a:p>
          <a:endParaRPr lang="zh-CN" altLang="en-US"/>
        </a:p>
      </dgm:t>
    </dgm:pt>
    <dgm:pt modelId="{79702305-9129-4AC2-9AF1-32F251CA7EC6}">
      <dgm:prSet phldrT="[文本]" custT="1"/>
      <dgm:spPr/>
      <dgm:t>
        <a:bodyPr/>
        <a:lstStyle/>
        <a:p>
          <a:endParaRPr lang="zh-CN" altLang="en-US" sz="1000"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3351F896-1870-4E9C-A249-EDA26855BD4D}" type="parTrans" cxnId="{28B07787-8425-4431-BE6B-3A346453C706}">
      <dgm:prSet/>
      <dgm:spPr/>
      <dgm:t>
        <a:bodyPr/>
        <a:lstStyle/>
        <a:p>
          <a:endParaRPr lang="zh-CN" altLang="en-US"/>
        </a:p>
      </dgm:t>
    </dgm:pt>
    <dgm:pt modelId="{112383FD-85FF-4D96-88D6-06DC3D5626AF}" type="sibTrans" cxnId="{28B07787-8425-4431-BE6B-3A346453C706}">
      <dgm:prSet/>
      <dgm:spPr/>
      <dgm:t>
        <a:bodyPr/>
        <a:lstStyle/>
        <a:p>
          <a:endParaRPr lang="zh-CN" altLang="en-US"/>
        </a:p>
      </dgm:t>
    </dgm:pt>
    <dgm:pt modelId="{11D92865-A1F4-4468-AF03-FC482EC291F2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分账功能对接：针对有分账需求的商户，比如引入入驻商家的电商平台，或者有加盟司机的约车</a:t>
          </a:r>
          <a:r>
            <a:rPr lang="en-US" alt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APP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等情况，平台作为一级商户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按照电子商户开立流程在柜面办理一级商户商户号开立，同时需要在收单系统为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平台（一级商户）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以及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入驻商户或加盟司机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（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均作为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二级商户）开立商户号。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一级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商户应在交易订单中明确所含的各个二级商户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信息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及其对应</a:t>
          </a:r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需要分账的订单</a:t>
          </a:r>
          <a:r>
            <a:rPr lang="zh-CN" sz="1000">
              <a:latin typeface="仿宋_GB2312" panose="02010609030101010101" pitchFamily="3" charset="-122"/>
              <a:ea typeface="仿宋_GB2312" panose="02010609030101010101" pitchFamily="3" charset="-122"/>
            </a:rPr>
            <a:t>金额。</a:t>
          </a:r>
          <a:endParaRPr lang="zh-CN" altLang="en-US" sz="1000" b="1">
            <a:solidFill>
              <a:srgbClr val="FF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</dgm:t>
    </dgm:pt>
    <dgm:pt modelId="{373D6D51-ABC6-436E-A700-9F2AC77E2973}" type="parTrans" cxnId="{7DE7BC44-E3C0-4ED9-BFF0-C394B48B14A0}">
      <dgm:prSet/>
      <dgm:spPr/>
      <dgm:t>
        <a:bodyPr/>
        <a:lstStyle/>
        <a:p>
          <a:endParaRPr lang="zh-CN" altLang="en-US"/>
        </a:p>
      </dgm:t>
    </dgm:pt>
    <dgm:pt modelId="{D53ED3AF-B4E6-46FD-AE43-799E8716BBAB}" type="sibTrans" cxnId="{7DE7BC44-E3C0-4ED9-BFF0-C394B48B14A0}">
      <dgm:prSet/>
      <dgm:spPr/>
      <dgm:t>
        <a:bodyPr/>
        <a:lstStyle/>
        <a:p>
          <a:endParaRPr lang="zh-CN" altLang="en-US"/>
        </a:p>
      </dgm:t>
    </dgm:pt>
    <dgm:pt modelId="{F7B706CB-67C9-4F2C-8390-780F73AD2979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■新商户：开立对公结算账户→签署协议→柜面开立商户号并进行商户号配置</a:t>
          </a:r>
        </a:p>
      </dgm:t>
    </dgm:pt>
    <dgm:pt modelId="{D9838BF6-6F93-470F-A479-9D0D1F4CD0FB}" type="parTrans" cxnId="{AA3C0316-0334-4790-A2C5-8EC6057F7218}">
      <dgm:prSet/>
      <dgm:spPr/>
      <dgm:t>
        <a:bodyPr/>
        <a:lstStyle/>
        <a:p>
          <a:endParaRPr lang="zh-CN" altLang="en-US"/>
        </a:p>
      </dgm:t>
    </dgm:pt>
    <dgm:pt modelId="{EDDAEE0C-8C6C-40A1-A996-4B418C5A9DDB}" type="sibTrans" cxnId="{AA3C0316-0334-4790-A2C5-8EC6057F7218}">
      <dgm:prSet/>
      <dgm:spPr/>
      <dgm:t>
        <a:bodyPr/>
        <a:lstStyle/>
        <a:p>
          <a:endParaRPr lang="zh-CN" altLang="en-US"/>
        </a:p>
      </dgm:t>
    </dgm:pt>
    <dgm:pt modelId="{5EDFE627-88B3-4467-83DD-2DABC3A6D52C}">
      <dgm:prSet phldrT="[文本]" custT="1"/>
      <dgm:spPr/>
      <dgm:t>
        <a:bodyPr/>
        <a:lstStyle/>
        <a:p>
          <a:r>
            <a:rPr lang="zh-CN" altLang="en-US" sz="1000">
              <a:latin typeface="仿宋_GB2312" panose="02010609030101010101" pitchFamily="3" charset="-122"/>
              <a:ea typeface="仿宋_GB2312" panose="02010609030101010101" pitchFamily="3" charset="-122"/>
            </a:rPr>
            <a:t>■存量商户：签署协议→柜面修改商户号参数配置</a:t>
          </a:r>
        </a:p>
      </dgm:t>
    </dgm:pt>
    <dgm:pt modelId="{25437303-E475-4298-99BF-CC47CCEFD346}" type="parTrans" cxnId="{BA1A2CB5-B21C-427F-B819-50D1ACDA8C87}">
      <dgm:prSet/>
      <dgm:spPr/>
      <dgm:t>
        <a:bodyPr/>
        <a:lstStyle/>
        <a:p>
          <a:endParaRPr lang="zh-CN" altLang="en-US"/>
        </a:p>
      </dgm:t>
    </dgm:pt>
    <dgm:pt modelId="{D71D7CC5-04AB-49E0-9E77-F27F28B37763}" type="sibTrans" cxnId="{BA1A2CB5-B21C-427F-B819-50D1ACDA8C87}">
      <dgm:prSet/>
      <dgm:spPr/>
      <dgm:t>
        <a:bodyPr/>
        <a:lstStyle/>
        <a:p>
          <a:endParaRPr lang="zh-CN" altLang="en-US"/>
        </a:p>
      </dgm:t>
    </dgm:pt>
    <dgm:pt modelId="{77A9CC2B-16B1-4077-9814-88BEF23AEFF5}" type="pres">
      <dgm:prSet presAssocID="{9330ED19-E601-4A57-9A99-91EEBEB95CA8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691E1CB0-E626-4720-B0B5-5EB2D9DF879D}" type="pres">
      <dgm:prSet presAssocID="{3E80864B-38F8-4D96-A5DD-6374DB369C9B}" presName="composite" presStyleCnt="0"/>
      <dgm:spPr/>
    </dgm:pt>
    <dgm:pt modelId="{AA776075-97C4-46E8-B67F-CF7F907B0A16}" type="pres">
      <dgm:prSet presAssocID="{3E80864B-38F8-4D96-A5DD-6374DB369C9B}" presName="parentText" presStyleLbl="alignNode1" presStyleIdx="0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4EF14F94-0259-4F6E-8784-130EABF28F24}" type="pres">
      <dgm:prSet presAssocID="{3E80864B-38F8-4D96-A5DD-6374DB369C9B}" presName="descendantText" presStyleLbl="alignAcc1" presStyleIdx="0" presStyleCnt="4" custScaleY="14414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247324ED-5F1B-488F-95DC-C3F34B56802D}" type="pres">
      <dgm:prSet presAssocID="{6C65B0AE-29E3-4E6C-9AB9-6835544817CF}" presName="sp" presStyleCnt="0"/>
      <dgm:spPr/>
    </dgm:pt>
    <dgm:pt modelId="{129F4729-DD9A-499E-B753-67D4BCB66479}" type="pres">
      <dgm:prSet presAssocID="{73EAFE4E-89F6-46EF-A152-E5E4E6604A16}" presName="composite" presStyleCnt="0"/>
      <dgm:spPr/>
    </dgm:pt>
    <dgm:pt modelId="{97F30856-5C33-43D2-82DC-CBAB9C5509E3}" type="pres">
      <dgm:prSet presAssocID="{73EAFE4E-89F6-46EF-A152-E5E4E6604A16}" presName="parentText" presStyleLbl="align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C49B4622-C84B-48CE-92AA-A8EB4912134B}" type="pres">
      <dgm:prSet presAssocID="{73EAFE4E-89F6-46EF-A152-E5E4E6604A16}" presName="descendantText" presStyleLbl="alignAcc1" presStyleIdx="1" presStyleCnt="4" custScaleY="63145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AE25E275-E2F6-4131-9C78-9942C39BCFCD}" type="pres">
      <dgm:prSet presAssocID="{548C5E3F-15AF-47B5-A221-228A691C354C}" presName="sp" presStyleCnt="0"/>
      <dgm:spPr/>
    </dgm:pt>
    <dgm:pt modelId="{A30361AF-3506-4F22-B90D-1C75C9E031AC}" type="pres">
      <dgm:prSet presAssocID="{FCE7CD0D-7F93-4307-BAB8-5EC7FAAC1EAE}" presName="composite" presStyleCnt="0"/>
      <dgm:spPr/>
    </dgm:pt>
    <dgm:pt modelId="{365BB6D6-328D-4C7B-B951-019287176333}" type="pres">
      <dgm:prSet presAssocID="{FCE7CD0D-7F93-4307-BAB8-5EC7FAAC1EAE}" presName="parentText" presStyleLbl="alignNode1" presStyleIdx="2" presStyleCnt="4" custLinFactNeighborX="0" custLinFactNeighborY="-30131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7C56EB7B-F69A-419A-BFA2-DD4CE94FA613}" type="pres">
      <dgm:prSet presAssocID="{FCE7CD0D-7F93-4307-BAB8-5EC7FAAC1EAE}" presName="descendantText" presStyleLbl="alignAcc1" presStyleIdx="2" presStyleCnt="4" custScaleY="209877" custLinFactNeighborX="0" custLinFactNeighborY="-35926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7F82A6E4-5E4C-4DCE-BF47-59678CAA2A1F}" type="pres">
      <dgm:prSet presAssocID="{CFEB9FF5-4324-4BF5-B9AE-DEC387317F55}" presName="sp" presStyleCnt="0"/>
      <dgm:spPr/>
    </dgm:pt>
    <dgm:pt modelId="{BAE9D735-148D-4826-95F4-792B4EA145F3}" type="pres">
      <dgm:prSet presAssocID="{9AF7976E-98E5-417B-BCB7-423659B87E70}" presName="composite" presStyleCnt="0"/>
      <dgm:spPr/>
    </dgm:pt>
    <dgm:pt modelId="{6CC1FFA3-24BB-4326-BA60-E515B94F6F7B}" type="pres">
      <dgm:prSet presAssocID="{9AF7976E-98E5-417B-BCB7-423659B87E70}" presName="parentText" presStyleLbl="alignNode1" presStyleIdx="3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7E9AF16B-7157-4697-AC80-F579C93191BB}" type="pres">
      <dgm:prSet presAssocID="{9AF7976E-98E5-417B-BCB7-423659B87E70}" presName="descendantText" presStyleLbl="alignAcc1" presStyleIdx="3" presStyleCnt="4" custScaleY="163654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4E1E1AE8-E288-4B37-8734-210B9C4BB770}" srcId="{9AF7976E-98E5-417B-BCB7-423659B87E70}" destId="{90C38F60-0FB0-4657-A39F-84E2E727F83F}" srcOrd="0" destOrd="0" parTransId="{64ABABB7-0AC0-435D-A982-1C61CA63BA5E}" sibTransId="{E898CF58-A866-45A5-8935-BF62A394500C}"/>
    <dgm:cxn modelId="{93D04750-226D-4509-9746-7A5CDD9AA814}" type="presOf" srcId="{9330ED19-E601-4A57-9A99-91EEBEB95CA8}" destId="{77A9CC2B-16B1-4077-9814-88BEF23AEFF5}" srcOrd="0" destOrd="0" presId="urn:microsoft.com/office/officeart/2005/8/layout/chevron2"/>
    <dgm:cxn modelId="{8149AC1D-BB35-433C-B239-9D5C5A0B78F6}" srcId="{9330ED19-E601-4A57-9A99-91EEBEB95CA8}" destId="{73EAFE4E-89F6-46EF-A152-E5E4E6604A16}" srcOrd="1" destOrd="0" parTransId="{5014AA0E-3169-4605-9B51-41C3A2458F61}" sibTransId="{548C5E3F-15AF-47B5-A221-228A691C354C}"/>
    <dgm:cxn modelId="{28B07787-8425-4431-BE6B-3A346453C706}" srcId="{FCE7CD0D-7F93-4307-BAB8-5EC7FAAC1EAE}" destId="{79702305-9129-4AC2-9AF1-32F251CA7EC6}" srcOrd="5" destOrd="0" parTransId="{3351F896-1870-4E9C-A249-EDA26855BD4D}" sibTransId="{112383FD-85FF-4D96-88D6-06DC3D5626AF}"/>
    <dgm:cxn modelId="{6CB9B8B9-F130-431B-8C2A-B457CC2B9428}" type="presOf" srcId="{EA089181-D9FB-432B-B237-DBB3C9FA7749}" destId="{C49B4622-C84B-48CE-92AA-A8EB4912134B}" srcOrd="0" destOrd="0" presId="urn:microsoft.com/office/officeart/2005/8/layout/chevron2"/>
    <dgm:cxn modelId="{5EFED37F-8255-47EA-8B61-046D3097B09F}" type="presOf" srcId="{F7B706CB-67C9-4F2C-8390-780F73AD2979}" destId="{7C56EB7B-F69A-419A-BFA2-DD4CE94FA613}" srcOrd="0" destOrd="2" presId="urn:microsoft.com/office/officeart/2005/8/layout/chevron2"/>
    <dgm:cxn modelId="{5A66B268-6B51-449A-B91F-FD110384CADE}" type="presOf" srcId="{60DAE803-A75F-4EAC-9686-672ECC642B38}" destId="{4EF14F94-0259-4F6E-8784-130EABF28F24}" srcOrd="0" destOrd="0" presId="urn:microsoft.com/office/officeart/2005/8/layout/chevron2"/>
    <dgm:cxn modelId="{1DAE8264-4F9A-43FC-9BD8-8A960C459123}" srcId="{9330ED19-E601-4A57-9A99-91EEBEB95CA8}" destId="{9AF7976E-98E5-417B-BCB7-423659B87E70}" srcOrd="3" destOrd="0" parTransId="{256CB89A-EE44-4AAC-A7DF-BD69CDA1F26A}" sibTransId="{678C3660-F028-442D-8CC8-694D6F9B5F48}"/>
    <dgm:cxn modelId="{EA7C5940-A2ED-478D-AE8D-6D2F0975DEB1}" type="presOf" srcId="{EAC0728A-201F-43FB-B5A5-41F4252F1268}" destId="{4EF14F94-0259-4F6E-8784-130EABF28F24}" srcOrd="0" destOrd="1" presId="urn:microsoft.com/office/officeart/2005/8/layout/chevron2"/>
    <dgm:cxn modelId="{3B7C987C-FFD1-42C8-A0C4-5717FD237575}" srcId="{3E80864B-38F8-4D96-A5DD-6374DB369C9B}" destId="{EAC0728A-201F-43FB-B5A5-41F4252F1268}" srcOrd="1" destOrd="0" parTransId="{22DDC132-F11C-4949-87B7-FB65B89FC970}" sibTransId="{32AC94D7-96C6-4536-B0BD-582F5FD7B04E}"/>
    <dgm:cxn modelId="{BA1A2CB5-B21C-427F-B819-50D1ACDA8C87}" srcId="{FCE7CD0D-7F93-4307-BAB8-5EC7FAAC1EAE}" destId="{5EDFE627-88B3-4467-83DD-2DABC3A6D52C}" srcOrd="3" destOrd="0" parTransId="{25437303-E475-4298-99BF-CC47CCEFD346}" sibTransId="{D71D7CC5-04AB-49E0-9E77-F27F28B37763}"/>
    <dgm:cxn modelId="{4BEFB1BE-CCDA-4CFA-868D-45DE7753E71F}" srcId="{3E80864B-38F8-4D96-A5DD-6374DB369C9B}" destId="{60DAE803-A75F-4EAC-9686-672ECC642B38}" srcOrd="0" destOrd="0" parTransId="{2B942F5E-7D78-4EC2-B89E-685601E384ED}" sibTransId="{41DF2701-7152-485D-890E-38101D47D558}"/>
    <dgm:cxn modelId="{320E6EE7-D8EE-4950-A6A5-C9C9A16F85B1}" srcId="{73EAFE4E-89F6-46EF-A152-E5E4E6604A16}" destId="{EA089181-D9FB-432B-B237-DBB3C9FA7749}" srcOrd="0" destOrd="0" parTransId="{96D6ADB4-FE35-46A3-8136-F67C7DB35362}" sibTransId="{2D536577-38DE-4485-9C21-BA03E73D16CD}"/>
    <dgm:cxn modelId="{51D67F9C-6398-4D65-922A-B2F311013294}" srcId="{FCE7CD0D-7F93-4307-BAB8-5EC7FAAC1EAE}" destId="{7D1C4484-3657-4714-BE44-B39D0B59E511}" srcOrd="1" destOrd="0" parTransId="{E926B995-D69C-41B7-AED8-5C4B6B9003D4}" sibTransId="{3716DC5E-02EE-4B25-ABDD-CEEFCB9CF97B}"/>
    <dgm:cxn modelId="{B75B2073-45C0-4817-BC6C-7331D2B2FA6F}" srcId="{9AF7976E-98E5-417B-BCB7-423659B87E70}" destId="{4D54D130-7CAC-4356-9D62-05AB06EFCBD7}" srcOrd="1" destOrd="0" parTransId="{08BAB5B7-7FC9-40A2-961A-13B7D2284B5A}" sibTransId="{8BDD4DCF-C410-4933-99E9-F3C613568B93}"/>
    <dgm:cxn modelId="{6113E6D7-E6FB-4752-97B2-952E41198E4C}" type="presOf" srcId="{5EDFE627-88B3-4467-83DD-2DABC3A6D52C}" destId="{7C56EB7B-F69A-419A-BFA2-DD4CE94FA613}" srcOrd="0" destOrd="3" presId="urn:microsoft.com/office/officeart/2005/8/layout/chevron2"/>
    <dgm:cxn modelId="{2E911CC1-968E-444A-9AB1-AC497CB5122C}" type="presOf" srcId="{11D92865-A1F4-4468-AF03-FC482EC291F2}" destId="{7C56EB7B-F69A-419A-BFA2-DD4CE94FA613}" srcOrd="0" destOrd="4" presId="urn:microsoft.com/office/officeart/2005/8/layout/chevron2"/>
    <dgm:cxn modelId="{71CD5BF3-C4ED-4444-8E06-BE72FE2E1ADF}" type="presOf" srcId="{36F8919A-785B-4F8F-B2F0-C4F2B4F9B74F}" destId="{7C56EB7B-F69A-419A-BFA2-DD4CE94FA613}" srcOrd="0" destOrd="0" presId="urn:microsoft.com/office/officeart/2005/8/layout/chevron2"/>
    <dgm:cxn modelId="{AA3C0316-0334-4790-A2C5-8EC6057F7218}" srcId="{FCE7CD0D-7F93-4307-BAB8-5EC7FAAC1EAE}" destId="{F7B706CB-67C9-4F2C-8390-780F73AD2979}" srcOrd="2" destOrd="0" parTransId="{D9838BF6-6F93-470F-A479-9D0D1F4CD0FB}" sibTransId="{EDDAEE0C-8C6C-40A1-A996-4B418C5A9DDB}"/>
    <dgm:cxn modelId="{C32ADB85-DEAB-4CC2-84E3-FA52C0F7686F}" type="presOf" srcId="{7D1C4484-3657-4714-BE44-B39D0B59E511}" destId="{7C56EB7B-F69A-419A-BFA2-DD4CE94FA613}" srcOrd="0" destOrd="1" presId="urn:microsoft.com/office/officeart/2005/8/layout/chevron2"/>
    <dgm:cxn modelId="{1B9AE328-E362-43EF-ABE7-655C4A7D7BCC}" type="presOf" srcId="{73EAFE4E-89F6-46EF-A152-E5E4E6604A16}" destId="{97F30856-5C33-43D2-82DC-CBAB9C5509E3}" srcOrd="0" destOrd="0" presId="urn:microsoft.com/office/officeart/2005/8/layout/chevron2"/>
    <dgm:cxn modelId="{C7719285-D4C2-4E83-AAE2-88297046A650}" type="presOf" srcId="{90C38F60-0FB0-4657-A39F-84E2E727F83F}" destId="{7E9AF16B-7157-4697-AC80-F579C93191BB}" srcOrd="0" destOrd="0" presId="urn:microsoft.com/office/officeart/2005/8/layout/chevron2"/>
    <dgm:cxn modelId="{DACD67FA-7BDF-4DEE-81C5-23E255757A69}" type="presOf" srcId="{9AF7976E-98E5-417B-BCB7-423659B87E70}" destId="{6CC1FFA3-24BB-4326-BA60-E515B94F6F7B}" srcOrd="0" destOrd="0" presId="urn:microsoft.com/office/officeart/2005/8/layout/chevron2"/>
    <dgm:cxn modelId="{7DE7BC44-E3C0-4ED9-BFF0-C394B48B14A0}" srcId="{FCE7CD0D-7F93-4307-BAB8-5EC7FAAC1EAE}" destId="{11D92865-A1F4-4468-AF03-FC482EC291F2}" srcOrd="4" destOrd="0" parTransId="{373D6D51-ABC6-436E-A700-9F2AC77E2973}" sibTransId="{D53ED3AF-B4E6-46FD-AE43-799E8716BBAB}"/>
    <dgm:cxn modelId="{02652FAA-B03E-427D-9F0B-C24A493E2F4C}" srcId="{9330ED19-E601-4A57-9A99-91EEBEB95CA8}" destId="{FCE7CD0D-7F93-4307-BAB8-5EC7FAAC1EAE}" srcOrd="2" destOrd="0" parTransId="{6DB84146-A263-4E61-9158-A25E1CD71738}" sibTransId="{CFEB9FF5-4324-4BF5-B9AE-DEC387317F55}"/>
    <dgm:cxn modelId="{4CF69813-93DD-45E8-AB65-37A602F60FB2}" type="presOf" srcId="{FCE7CD0D-7F93-4307-BAB8-5EC7FAAC1EAE}" destId="{365BB6D6-328D-4C7B-B951-019287176333}" srcOrd="0" destOrd="0" presId="urn:microsoft.com/office/officeart/2005/8/layout/chevron2"/>
    <dgm:cxn modelId="{714D6BF9-D937-4332-AEC0-4F2644EFE7FE}" srcId="{FCE7CD0D-7F93-4307-BAB8-5EC7FAAC1EAE}" destId="{36F8919A-785B-4F8F-B2F0-C4F2B4F9B74F}" srcOrd="0" destOrd="0" parTransId="{2D231F2C-9965-4295-ACAE-FB6B9F0A4EBA}" sibTransId="{AD350F61-F285-4A1A-83D5-D4780A4AC53C}"/>
    <dgm:cxn modelId="{690C9B35-67F7-469E-938A-FD38F7FA51D2}" srcId="{9330ED19-E601-4A57-9A99-91EEBEB95CA8}" destId="{3E80864B-38F8-4D96-A5DD-6374DB369C9B}" srcOrd="0" destOrd="0" parTransId="{3E50E45E-66C7-47F5-8ABB-74633FA3F962}" sibTransId="{6C65B0AE-29E3-4E6C-9AB9-6835544817CF}"/>
    <dgm:cxn modelId="{9D3AA869-F93F-4448-9852-D5ED5F0B422C}" type="presOf" srcId="{79702305-9129-4AC2-9AF1-32F251CA7EC6}" destId="{7C56EB7B-F69A-419A-BFA2-DD4CE94FA613}" srcOrd="0" destOrd="5" presId="urn:microsoft.com/office/officeart/2005/8/layout/chevron2"/>
    <dgm:cxn modelId="{C7117D8C-3A22-48F0-B6B5-BB9E75A1631B}" type="presOf" srcId="{4D54D130-7CAC-4356-9D62-05AB06EFCBD7}" destId="{7E9AF16B-7157-4697-AC80-F579C93191BB}" srcOrd="0" destOrd="1" presId="urn:microsoft.com/office/officeart/2005/8/layout/chevron2"/>
    <dgm:cxn modelId="{4E345FB4-0682-43AA-A15C-5232A5736625}" type="presOf" srcId="{3E80864B-38F8-4D96-A5DD-6374DB369C9B}" destId="{AA776075-97C4-46E8-B67F-CF7F907B0A16}" srcOrd="0" destOrd="0" presId="urn:microsoft.com/office/officeart/2005/8/layout/chevron2"/>
    <dgm:cxn modelId="{2E7ECCCA-5F66-44C8-A0CC-49FA8EBB02D7}" type="presParOf" srcId="{77A9CC2B-16B1-4077-9814-88BEF23AEFF5}" destId="{691E1CB0-E626-4720-B0B5-5EB2D9DF879D}" srcOrd="0" destOrd="0" presId="urn:microsoft.com/office/officeart/2005/8/layout/chevron2"/>
    <dgm:cxn modelId="{ABE8D1CE-FE91-41C9-9042-693864FF94D7}" type="presParOf" srcId="{691E1CB0-E626-4720-B0B5-5EB2D9DF879D}" destId="{AA776075-97C4-46E8-B67F-CF7F907B0A16}" srcOrd="0" destOrd="0" presId="urn:microsoft.com/office/officeart/2005/8/layout/chevron2"/>
    <dgm:cxn modelId="{55417E50-7A8C-4528-AF44-B51479CDCB8E}" type="presParOf" srcId="{691E1CB0-E626-4720-B0B5-5EB2D9DF879D}" destId="{4EF14F94-0259-4F6E-8784-130EABF28F24}" srcOrd="1" destOrd="0" presId="urn:microsoft.com/office/officeart/2005/8/layout/chevron2"/>
    <dgm:cxn modelId="{434D2D96-0645-417F-BD14-CB46A043E8B4}" type="presParOf" srcId="{77A9CC2B-16B1-4077-9814-88BEF23AEFF5}" destId="{247324ED-5F1B-488F-95DC-C3F34B56802D}" srcOrd="1" destOrd="0" presId="urn:microsoft.com/office/officeart/2005/8/layout/chevron2"/>
    <dgm:cxn modelId="{CD7C35E1-319C-4277-9C5B-3595191006F7}" type="presParOf" srcId="{77A9CC2B-16B1-4077-9814-88BEF23AEFF5}" destId="{129F4729-DD9A-499E-B753-67D4BCB66479}" srcOrd="2" destOrd="0" presId="urn:microsoft.com/office/officeart/2005/8/layout/chevron2"/>
    <dgm:cxn modelId="{92EC394D-DEF8-4169-90B2-E4250C56B26A}" type="presParOf" srcId="{129F4729-DD9A-499E-B753-67D4BCB66479}" destId="{97F30856-5C33-43D2-82DC-CBAB9C5509E3}" srcOrd="0" destOrd="0" presId="urn:microsoft.com/office/officeart/2005/8/layout/chevron2"/>
    <dgm:cxn modelId="{A3A18AEB-748E-4E17-87F1-9A61AC1AECC2}" type="presParOf" srcId="{129F4729-DD9A-499E-B753-67D4BCB66479}" destId="{C49B4622-C84B-48CE-92AA-A8EB4912134B}" srcOrd="1" destOrd="0" presId="urn:microsoft.com/office/officeart/2005/8/layout/chevron2"/>
    <dgm:cxn modelId="{8D23F027-BCBC-4132-95DD-7FB11D8E2C1E}" type="presParOf" srcId="{77A9CC2B-16B1-4077-9814-88BEF23AEFF5}" destId="{AE25E275-E2F6-4131-9C78-9942C39BCFCD}" srcOrd="3" destOrd="0" presId="urn:microsoft.com/office/officeart/2005/8/layout/chevron2"/>
    <dgm:cxn modelId="{5C41FDE1-3FE4-4A07-B7F7-78F9E973DA07}" type="presParOf" srcId="{77A9CC2B-16B1-4077-9814-88BEF23AEFF5}" destId="{A30361AF-3506-4F22-B90D-1C75C9E031AC}" srcOrd="4" destOrd="0" presId="urn:microsoft.com/office/officeart/2005/8/layout/chevron2"/>
    <dgm:cxn modelId="{D2AD32B6-1372-4F73-93A9-C1E992EA576E}" type="presParOf" srcId="{A30361AF-3506-4F22-B90D-1C75C9E031AC}" destId="{365BB6D6-328D-4C7B-B951-019287176333}" srcOrd="0" destOrd="0" presId="urn:microsoft.com/office/officeart/2005/8/layout/chevron2"/>
    <dgm:cxn modelId="{244DF851-3C1A-4D82-94F6-40176EFDD8D5}" type="presParOf" srcId="{A30361AF-3506-4F22-B90D-1C75C9E031AC}" destId="{7C56EB7B-F69A-419A-BFA2-DD4CE94FA613}" srcOrd="1" destOrd="0" presId="urn:microsoft.com/office/officeart/2005/8/layout/chevron2"/>
    <dgm:cxn modelId="{5767BA85-7D41-4907-9C34-63210DC4363F}" type="presParOf" srcId="{77A9CC2B-16B1-4077-9814-88BEF23AEFF5}" destId="{7F82A6E4-5E4C-4DCE-BF47-59678CAA2A1F}" srcOrd="5" destOrd="0" presId="urn:microsoft.com/office/officeart/2005/8/layout/chevron2"/>
    <dgm:cxn modelId="{085584CD-471B-4FCC-AC1B-323E7FD85AAB}" type="presParOf" srcId="{77A9CC2B-16B1-4077-9814-88BEF23AEFF5}" destId="{BAE9D735-148D-4826-95F4-792B4EA145F3}" srcOrd="6" destOrd="0" presId="urn:microsoft.com/office/officeart/2005/8/layout/chevron2"/>
    <dgm:cxn modelId="{FB2BBF75-42E8-41D3-88A8-9CDB0A3DBB1D}" type="presParOf" srcId="{BAE9D735-148D-4826-95F4-792B4EA145F3}" destId="{6CC1FFA3-24BB-4326-BA60-E515B94F6F7B}" srcOrd="0" destOrd="0" presId="urn:microsoft.com/office/officeart/2005/8/layout/chevron2"/>
    <dgm:cxn modelId="{09B4FF99-781F-49F0-A3EE-7708E02A8D16}" type="presParOf" srcId="{BAE9D735-148D-4826-95F4-792B4EA145F3}" destId="{7E9AF16B-7157-4697-AC80-F579C93191BB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A776075-97C4-46E8-B67F-CF7F907B0A16}">
      <dsp:nvSpPr>
        <dsp:cNvPr id="0" name=""/>
        <dsp:cNvSpPr/>
      </dsp:nvSpPr>
      <dsp:spPr>
        <a:xfrm rot="5400000">
          <a:off x="-252659" y="1007964"/>
          <a:ext cx="1684397" cy="117907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_GB2312" panose="02010609030101010101" pitchFamily="3" charset="-122"/>
              <a:ea typeface="仿宋_GB2312" panose="02010609030101010101" pitchFamily="3" charset="-122"/>
            </a:rPr>
            <a:t>立项</a:t>
          </a:r>
        </a:p>
      </dsp:txBody>
      <dsp:txXfrm rot="-5400000">
        <a:off x="1" y="1344843"/>
        <a:ext cx="1179078" cy="505319"/>
      </dsp:txXfrm>
    </dsp:sp>
    <dsp:sp modelId="{4EF14F94-0259-4F6E-8784-130EABF28F24}">
      <dsp:nvSpPr>
        <dsp:cNvPr id="0" name=""/>
        <dsp:cNvSpPr/>
      </dsp:nvSpPr>
      <dsp:spPr>
        <a:xfrm rot="5400000">
          <a:off x="2289647" y="-596926"/>
          <a:ext cx="1578183" cy="379932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前期沟通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分行上报立项材料（参照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《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浦银办发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〔2015〕116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号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-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关于印发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&lt;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上海浦东发展银行个人互联网支付业务（间联跨行收单）管理规程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&gt;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和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&lt;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上海浦东发展银行个人互联网支付业务（间联跨行收单）会计核算办法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&gt;</a:t>
          </a:r>
          <a:r>
            <a:rPr lang="zh-CN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等规章制度的通知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》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内要求的相关立项材料）及营销活动方案（如有）</a:t>
          </a:r>
        </a:p>
      </dsp:txBody>
      <dsp:txXfrm rot="-5400000">
        <a:off x="1179079" y="590683"/>
        <a:ext cx="3722280" cy="1424101"/>
      </dsp:txXfrm>
    </dsp:sp>
    <dsp:sp modelId="{97F30856-5C33-43D2-82DC-CBAB9C5509E3}">
      <dsp:nvSpPr>
        <dsp:cNvPr id="0" name=""/>
        <dsp:cNvSpPr/>
      </dsp:nvSpPr>
      <dsp:spPr>
        <a:xfrm rot="5400000">
          <a:off x="-252659" y="2541326"/>
          <a:ext cx="1684397" cy="117907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_GB2312" panose="02010609030101010101" pitchFamily="3" charset="-122"/>
              <a:ea typeface="仿宋_GB2312" panose="02010609030101010101" pitchFamily="3" charset="-122"/>
            </a:rPr>
            <a:t>审批</a:t>
          </a:r>
        </a:p>
      </dsp:txBody>
      <dsp:txXfrm rot="-5400000">
        <a:off x="1" y="2878205"/>
        <a:ext cx="1179078" cy="505319"/>
      </dsp:txXfrm>
    </dsp:sp>
    <dsp:sp modelId="{C49B4622-C84B-48CE-92AA-A8EB4912134B}">
      <dsp:nvSpPr>
        <dsp:cNvPr id="0" name=""/>
        <dsp:cNvSpPr/>
      </dsp:nvSpPr>
      <dsp:spPr>
        <a:xfrm rot="5400000">
          <a:off x="2733064" y="936435"/>
          <a:ext cx="691348" cy="379932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总行于三个工作日回复审批意见及合作费率、额度</a:t>
          </a:r>
        </a:p>
      </dsp:txBody>
      <dsp:txXfrm rot="-5400000">
        <a:off x="1179078" y="2524171"/>
        <a:ext cx="3765572" cy="623850"/>
      </dsp:txXfrm>
    </dsp:sp>
    <dsp:sp modelId="{365BB6D6-328D-4C7B-B951-019287176333}">
      <dsp:nvSpPr>
        <dsp:cNvPr id="0" name=""/>
        <dsp:cNvSpPr/>
      </dsp:nvSpPr>
      <dsp:spPr>
        <a:xfrm rot="5400000">
          <a:off x="-252659" y="4168661"/>
          <a:ext cx="1684397" cy="117907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_GB2312" panose="02010609030101010101" pitchFamily="3" charset="-122"/>
              <a:ea typeface="仿宋_GB2312" panose="02010609030101010101" pitchFamily="3" charset="-122"/>
            </a:rPr>
            <a:t>对接</a:t>
          </a:r>
        </a:p>
      </dsp:txBody>
      <dsp:txXfrm rot="-5400000">
        <a:off x="1" y="4505540"/>
        <a:ext cx="1179078" cy="505319"/>
      </dsp:txXfrm>
    </dsp:sp>
    <dsp:sp modelId="{7C56EB7B-F69A-419A-BFA2-DD4CE94FA613}">
      <dsp:nvSpPr>
        <dsp:cNvPr id="0" name=""/>
        <dsp:cNvSpPr/>
      </dsp:nvSpPr>
      <dsp:spPr>
        <a:xfrm rot="5400000">
          <a:off x="1929811" y="2677957"/>
          <a:ext cx="2297855" cy="379932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技术对接：分行向商户提供接口文档→牵头建立技术对接微信群→商户开发→双方联调→（商户号完成参数配置）上线；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商务对接：分行向商户提供我行管理办法中提供的标准协议（如有修改，需走分行法审流程），牵头建立商务对接群，沟通协议签署、商户号开立及柜面配置等商务工作，具体如下：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■新商户：开立对公结算账户→签署协议→柜面开立商户号并进行商户号配置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■存量商户：签署协议→柜面修改商户号参数配置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分账功能对接：针对有分账需求的商户，比如引入入驻商家的电商平台，或者有加盟司机的约车</a:t>
          </a:r>
          <a:r>
            <a:rPr lang="en-US" alt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APP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等情况，平台作为一级商户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按照电子商户开立流程在柜面办理一级商户商户号开立，同时需要在收单系统为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平台（一级商户）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以及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入驻商户或加盟司机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（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均作为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二级商户）开立商户号。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一级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商户应在交易订单中明确所含的各个二级商户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信息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及其对应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需要分账的订单</a:t>
          </a:r>
          <a:r>
            <a:rPr lang="zh-CN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金额。</a:t>
          </a:r>
          <a:endParaRPr lang="zh-CN" altLang="en-US" sz="1000" b="1" kern="1200">
            <a:solidFill>
              <a:srgbClr val="FF0000"/>
            </a:solidFill>
            <a:latin typeface="仿宋_GB2312" panose="02010609030101010101" pitchFamily="3" charset="-122"/>
            <a:ea typeface="仿宋_GB2312" panose="02010609030101010101" pitchFamily="3" charset="-122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CN" altLang="en-US" sz="1000" kern="1200">
            <a:latin typeface="仿宋_GB2312" panose="02010609030101010101" pitchFamily="3" charset="-122"/>
            <a:ea typeface="仿宋_GB2312" panose="02010609030101010101" pitchFamily="3" charset="-122"/>
          </a:endParaRPr>
        </a:p>
      </dsp:txBody>
      <dsp:txXfrm rot="-5400000">
        <a:off x="1179078" y="3540862"/>
        <a:ext cx="3687149" cy="2073511"/>
      </dsp:txXfrm>
    </dsp:sp>
    <dsp:sp modelId="{6CC1FFA3-24BB-4326-BA60-E515B94F6F7B}">
      <dsp:nvSpPr>
        <dsp:cNvPr id="0" name=""/>
        <dsp:cNvSpPr/>
      </dsp:nvSpPr>
      <dsp:spPr>
        <a:xfrm rot="5400000">
          <a:off x="-252659" y="6569969"/>
          <a:ext cx="1684397" cy="1179078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仿宋_GB2312" panose="02010609030101010101" pitchFamily="3" charset="-122"/>
              <a:ea typeface="仿宋_GB2312" panose="02010609030101010101" pitchFamily="3" charset="-122"/>
            </a:rPr>
            <a:t>上线运营</a:t>
          </a:r>
        </a:p>
      </dsp:txBody>
      <dsp:txXfrm rot="-5400000">
        <a:off x="1" y="6906848"/>
        <a:ext cx="1179078" cy="505319"/>
      </dsp:txXfrm>
    </dsp:sp>
    <dsp:sp modelId="{7E9AF16B-7157-4697-AC80-F579C93191BB}">
      <dsp:nvSpPr>
        <dsp:cNvPr id="0" name=""/>
        <dsp:cNvSpPr/>
      </dsp:nvSpPr>
      <dsp:spPr>
        <a:xfrm rot="5400000">
          <a:off x="2182849" y="4965078"/>
          <a:ext cx="1791779" cy="379932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申请总行营销费用：分行上报营销活动方案→总行对活动形式及预算进行修订和审批→审批通过后，由总行向商户支付相关费用→原则上由总行</a:t>
          </a:r>
          <a:r>
            <a:rPr lang="zh-CN" altLang="en-US" sz="1000" b="0" kern="1200">
              <a:solidFill>
                <a:schemeClr val="tx1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与商户签署营销合作协议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→活动开展期间</a:t>
          </a:r>
          <a:r>
            <a:rPr lang="zh-CN" altLang="en-US" sz="1000" b="0" kern="1200">
              <a:solidFill>
                <a:schemeClr val="tx1"/>
              </a:solidFill>
              <a:latin typeface="仿宋_GB2312" panose="02010609030101010101" pitchFamily="3" charset="-122"/>
              <a:ea typeface="仿宋_GB2312" panose="02010609030101010101" pitchFamily="3" charset="-122"/>
            </a:rPr>
            <a:t>分行做好营销活</a:t>
          </a: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动跟进，若活动开展后效果不如预期，应及时与总行沟通，调整活动方案；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CN" altLang="en-US" sz="1000" kern="1200">
              <a:latin typeface="仿宋_GB2312" panose="02010609030101010101" pitchFamily="3" charset="-122"/>
              <a:ea typeface="仿宋_GB2312" panose="02010609030101010101" pitchFamily="3" charset="-122"/>
            </a:rPr>
            <a:t>申请分行营销费用：对于部分重点商户，分行根据自身推广策略，可开展分行营销活动，费用由商户拓展分行自行承担。</a:t>
          </a:r>
        </a:p>
      </dsp:txBody>
      <dsp:txXfrm rot="-5400000">
        <a:off x="1179079" y="6056316"/>
        <a:ext cx="3711854" cy="16168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韩璐</dc:creator>
  <cp:keywords/>
  <dc:description/>
  <cp:lastModifiedBy>韩璐</cp:lastModifiedBy>
  <cp:revision>2</cp:revision>
  <dcterms:created xsi:type="dcterms:W3CDTF">2020-04-17T05:36:00Z</dcterms:created>
  <dcterms:modified xsi:type="dcterms:W3CDTF">2020-04-17T05:36:00Z</dcterms:modified>
</cp:coreProperties>
</file>