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sz w:val="52"/>
          <w:szCs w:val="52"/>
          <w:lang w:val="en-US" w:eastAsia="zh-CN"/>
        </w:rPr>
      </w:pPr>
      <w:r>
        <w:rPr>
          <w:rFonts w:hint="eastAsia"/>
          <w:b/>
          <w:sz w:val="52"/>
          <w:szCs w:val="52"/>
          <w:lang w:val="en-US" w:eastAsia="zh-CN"/>
        </w:rPr>
        <w:t>陕西中泰材料科技有限公司</w:t>
      </w:r>
    </w:p>
    <w:p>
      <w:pPr>
        <w:jc w:val="center"/>
        <w:rPr>
          <w:b/>
          <w:sz w:val="52"/>
          <w:szCs w:val="52"/>
        </w:rPr>
      </w:pPr>
      <w:r>
        <w:rPr>
          <w:rFonts w:hint="eastAsia"/>
          <w:b/>
          <w:sz w:val="52"/>
          <w:szCs w:val="52"/>
        </w:rPr>
        <w:t>无人值守称重系统</w:t>
      </w:r>
    </w:p>
    <w:p>
      <w:pPr>
        <w:jc w:val="center"/>
        <w:rPr>
          <w:b/>
          <w:sz w:val="52"/>
          <w:szCs w:val="48"/>
        </w:rPr>
      </w:pPr>
    </w:p>
    <w:p>
      <w:pPr>
        <w:jc w:val="center"/>
        <w:rPr>
          <w:b/>
          <w:sz w:val="52"/>
          <w:szCs w:val="48"/>
        </w:rPr>
      </w:pPr>
      <w:r>
        <w:rPr>
          <w:rFonts w:hint="eastAsia"/>
          <w:b/>
          <w:sz w:val="52"/>
          <w:szCs w:val="48"/>
        </w:rPr>
        <w:t>技术方案</w:t>
      </w:r>
    </w:p>
    <w:p>
      <w:pPr>
        <w:jc w:val="center"/>
        <w:rPr>
          <w:rFonts w:ascii="黑体" w:eastAsia="黑体"/>
          <w:sz w:val="48"/>
          <w:szCs w:val="48"/>
        </w:rPr>
      </w:pPr>
    </w:p>
    <w:p>
      <w:pPr>
        <w:jc w:val="center"/>
        <w:rPr>
          <w:rFonts w:ascii="黑体" w:eastAsia="黑体"/>
          <w:sz w:val="52"/>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422"/>
        <w:gridCol w:w="247"/>
        <w:gridCol w:w="993"/>
        <w:gridCol w:w="1404"/>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项目编号</w:t>
            </w:r>
          </w:p>
        </w:tc>
        <w:tc>
          <w:tcPr>
            <w:tcW w:w="5249" w:type="dxa"/>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项目名称</w:t>
            </w:r>
          </w:p>
        </w:tc>
        <w:tc>
          <w:tcPr>
            <w:tcW w:w="5249" w:type="dxa"/>
            <w:gridSpan w:val="5"/>
            <w:vAlign w:val="center"/>
          </w:tcPr>
          <w:p>
            <w:r>
              <w:rPr>
                <w:rFonts w:hint="eastAsia"/>
              </w:rPr>
              <w:t>无人值守称重系统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文档名称</w:t>
            </w:r>
          </w:p>
        </w:tc>
        <w:tc>
          <w:tcPr>
            <w:tcW w:w="5249" w:type="dxa"/>
            <w:gridSpan w:val="5"/>
            <w:vAlign w:val="center"/>
          </w:tcPr>
          <w:p>
            <w:r>
              <w:rPr>
                <w:rFonts w:hint="eastAsia"/>
              </w:rPr>
              <w:t>技术方案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版 本 号</w:t>
            </w:r>
          </w:p>
        </w:tc>
        <w:tc>
          <w:tcPr>
            <w:tcW w:w="5249" w:type="dxa"/>
            <w:gridSpan w:val="5"/>
            <w:vAlign w:val="center"/>
          </w:tcPr>
          <w:p>
            <w: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编    制</w:t>
            </w:r>
          </w:p>
        </w:tc>
        <w:tc>
          <w:tcPr>
            <w:tcW w:w="1669" w:type="dxa"/>
            <w:gridSpan w:val="2"/>
            <w:vAlign w:val="center"/>
          </w:tcPr>
          <w:p>
            <w:pPr>
              <w:rPr>
                <w:rFonts w:hint="default" w:eastAsia="仿宋"/>
                <w:lang w:val="en-US" w:eastAsia="zh-CN"/>
              </w:rPr>
            </w:pPr>
            <w:r>
              <w:rPr>
                <w:rFonts w:hint="eastAsia"/>
                <w:lang w:val="en-US" w:eastAsia="zh-CN"/>
              </w:rPr>
              <w:t>蒲光辉</w:t>
            </w:r>
          </w:p>
        </w:tc>
        <w:tc>
          <w:tcPr>
            <w:tcW w:w="993" w:type="dxa"/>
            <w:vAlign w:val="center"/>
          </w:tcPr>
          <w:p>
            <w:pPr>
              <w:jc w:val="center"/>
              <w:rPr>
                <w:b/>
              </w:rPr>
            </w:pPr>
            <w:r>
              <w:rPr>
                <w:rFonts w:hint="eastAsia"/>
                <w:b/>
              </w:rPr>
              <w:t>日期</w:t>
            </w:r>
          </w:p>
        </w:tc>
        <w:tc>
          <w:tcPr>
            <w:tcW w:w="2587" w:type="dxa"/>
            <w:gridSpan w:val="2"/>
            <w:vAlign w:val="center"/>
          </w:tcPr>
          <w:p>
            <w:pPr>
              <w:rPr>
                <w:rFonts w:hint="default" w:eastAsia="仿宋"/>
                <w:b/>
                <w:lang w:val="en-US" w:eastAsia="zh-CN"/>
              </w:rPr>
            </w:pPr>
            <w:r>
              <w:rPr>
                <w:rFonts w:hint="eastAsia"/>
                <w:b w:val="0"/>
                <w:bCs/>
                <w:lang w:val="en-US" w:eastAsia="zh-CN"/>
              </w:rPr>
              <w:t>2023年2月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审    核</w:t>
            </w:r>
          </w:p>
        </w:tc>
        <w:tc>
          <w:tcPr>
            <w:tcW w:w="1669" w:type="dxa"/>
            <w:gridSpan w:val="2"/>
            <w:vAlign w:val="center"/>
          </w:tcPr>
          <w:p/>
        </w:tc>
        <w:tc>
          <w:tcPr>
            <w:tcW w:w="993" w:type="dxa"/>
            <w:vAlign w:val="center"/>
          </w:tcPr>
          <w:p>
            <w:pPr>
              <w:jc w:val="center"/>
              <w:rPr>
                <w:b/>
              </w:rPr>
            </w:pPr>
            <w:r>
              <w:rPr>
                <w:rFonts w:hint="eastAsia"/>
                <w:b/>
              </w:rPr>
              <w:t>日期</w:t>
            </w:r>
          </w:p>
        </w:tc>
        <w:tc>
          <w:tcPr>
            <w:tcW w:w="2587" w:type="dxa"/>
            <w:gridSpan w:val="2"/>
            <w:vAlign w:val="center"/>
          </w:tcPr>
          <w:p>
            <w:pP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批    准</w:t>
            </w:r>
          </w:p>
        </w:tc>
        <w:tc>
          <w:tcPr>
            <w:tcW w:w="1669" w:type="dxa"/>
            <w:gridSpan w:val="2"/>
            <w:vAlign w:val="center"/>
          </w:tcPr>
          <w:p/>
        </w:tc>
        <w:tc>
          <w:tcPr>
            <w:tcW w:w="993" w:type="dxa"/>
            <w:vAlign w:val="center"/>
          </w:tcPr>
          <w:p>
            <w:pPr>
              <w:jc w:val="center"/>
              <w:rPr>
                <w:b/>
              </w:rPr>
            </w:pPr>
            <w:r>
              <w:rPr>
                <w:rFonts w:hint="eastAsia"/>
                <w:b/>
              </w:rPr>
              <w:t>日期</w:t>
            </w:r>
          </w:p>
        </w:tc>
        <w:tc>
          <w:tcPr>
            <w:tcW w:w="2587" w:type="dxa"/>
            <w:gridSpan w:val="2"/>
            <w:vAlign w:val="center"/>
          </w:tcPr>
          <w:p>
            <w:pP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保密级别</w:t>
            </w:r>
          </w:p>
        </w:tc>
        <w:tc>
          <w:tcPr>
            <w:tcW w:w="1422" w:type="dxa"/>
            <w:vAlign w:val="center"/>
          </w:tcPr>
          <w:p>
            <w:r>
              <w:rPr>
                <w:rFonts w:hint="eastAsia"/>
              </w:rPr>
              <w:t>一般</w:t>
            </w:r>
          </w:p>
        </w:tc>
        <w:tc>
          <w:tcPr>
            <w:tcW w:w="1240" w:type="dxa"/>
            <w:gridSpan w:val="2"/>
            <w:vAlign w:val="center"/>
          </w:tcPr>
          <w:p>
            <w:r>
              <w:rPr>
                <w:rFonts w:hint="eastAsia"/>
              </w:rPr>
              <w:t>内部公开</w:t>
            </w:r>
          </w:p>
        </w:tc>
        <w:tc>
          <w:tcPr>
            <w:tcW w:w="1404" w:type="dxa"/>
            <w:shd w:val="clear" w:color="auto" w:fill="A6A6A6"/>
            <w:vAlign w:val="center"/>
          </w:tcPr>
          <w:p>
            <w:pPr>
              <w:rPr>
                <w:b/>
              </w:rPr>
            </w:pPr>
            <w:r>
              <w:rPr>
                <w:b/>
              </w:rPr>
              <w:t>企业</w:t>
            </w:r>
            <w:r>
              <w:rPr>
                <w:rFonts w:hint="eastAsia"/>
                <w:b/>
              </w:rPr>
              <w:t>秘密</w:t>
            </w:r>
          </w:p>
        </w:tc>
        <w:tc>
          <w:tcPr>
            <w:tcW w:w="1183" w:type="dxa"/>
            <w:vAlign w:val="center"/>
          </w:tcPr>
          <w:p>
            <w:r>
              <w:t>企业</w:t>
            </w:r>
            <w:r>
              <w:rPr>
                <w:rFonts w:hint="eastAsia"/>
              </w:rPr>
              <w:t>机密</w:t>
            </w:r>
          </w:p>
        </w:tc>
      </w:tr>
    </w:tbl>
    <w:p>
      <w:pPr>
        <w:ind w:firstLine="480"/>
      </w:pPr>
    </w:p>
    <w:p>
      <w:pPr>
        <w:ind w:firstLine="480"/>
      </w:pPr>
    </w:p>
    <w:p>
      <w:pPr>
        <w:ind w:firstLine="480"/>
      </w:pPr>
    </w:p>
    <w:p>
      <w:pPr>
        <w:rPr>
          <w:sz w:val="32"/>
        </w:rPr>
      </w:pPr>
    </w:p>
    <w:p>
      <w:pPr>
        <w:ind w:firstLine="480"/>
        <w:jc w:val="center"/>
        <w:rPr>
          <w:sz w:val="32"/>
        </w:rPr>
      </w:pPr>
      <w:r>
        <w:rPr>
          <w:rFonts w:hint="eastAsia"/>
          <w:sz w:val="32"/>
        </w:rPr>
        <w:t>202</w:t>
      </w:r>
      <w:r>
        <w:rPr>
          <w:rFonts w:hint="eastAsia"/>
          <w:sz w:val="32"/>
          <w:lang w:val="en-US" w:eastAsia="zh-CN"/>
        </w:rPr>
        <w:t>3</w:t>
      </w:r>
      <w:r>
        <w:rPr>
          <w:rFonts w:hint="eastAsia"/>
          <w:sz w:val="32"/>
        </w:rPr>
        <w:t>年</w:t>
      </w:r>
      <w:r>
        <w:rPr>
          <w:rFonts w:hint="eastAsia"/>
          <w:sz w:val="32"/>
          <w:lang w:val="en-US" w:eastAsia="zh-CN"/>
        </w:rPr>
        <w:t>2</w:t>
      </w:r>
      <w:r>
        <w:rPr>
          <w:rFonts w:hint="eastAsia"/>
          <w:sz w:val="32"/>
        </w:rPr>
        <w:t>月</w:t>
      </w:r>
    </w:p>
    <w:p>
      <w:pPr>
        <w:ind w:firstLine="480"/>
        <w:jc w:val="center"/>
        <w:rPr>
          <w:sz w:val="32"/>
        </w:rPr>
      </w:pPr>
    </w:p>
    <w:p/>
    <w:p/>
    <w:p/>
    <w:p/>
    <w:p/>
    <w:p/>
    <w:p/>
    <w:p>
      <w:pPr>
        <w:jc w:val="left"/>
        <w:rPr>
          <w:b/>
          <w:sz w:val="28"/>
        </w:rPr>
      </w:pPr>
      <w:r>
        <w:rPr>
          <w:rFonts w:hint="eastAsia"/>
          <w:b/>
          <w:sz w:val="28"/>
        </w:rPr>
        <w:t>版权声明：</w:t>
      </w:r>
    </w:p>
    <w:p>
      <w:pPr>
        <w:jc w:val="left"/>
        <w:rPr>
          <w:b/>
          <w:sz w:val="28"/>
        </w:rPr>
      </w:pPr>
      <w:r>
        <w:rPr>
          <w:rFonts w:hint="eastAsia"/>
          <w:b/>
          <w:sz w:val="28"/>
        </w:rPr>
        <w:t>本方案版权归</w:t>
      </w:r>
      <w:r>
        <w:rPr>
          <w:rFonts w:hint="eastAsia"/>
          <w:b/>
          <w:sz w:val="28"/>
          <w:lang w:val="en-US" w:eastAsia="zh-CN"/>
        </w:rPr>
        <w:t>陕西陆运帮网络科技有限公司</w:t>
      </w:r>
      <w:r>
        <w:rPr>
          <w:rFonts w:hint="eastAsia"/>
          <w:b/>
          <w:sz w:val="28"/>
        </w:rPr>
        <w:t>所有，未经授权不得擅自复制或散布其中的内容。</w:t>
      </w:r>
    </w:p>
    <w:p>
      <w:pPr>
        <w:jc w:val="left"/>
        <w:rPr>
          <w:b/>
          <w:sz w:val="28"/>
        </w:rPr>
      </w:pPr>
    </w:p>
    <w:p>
      <w:pPr>
        <w:jc w:val="left"/>
        <w:rPr>
          <w:b/>
          <w:sz w:val="28"/>
        </w:rPr>
      </w:pPr>
    </w:p>
    <w:p>
      <w:pPr>
        <w:jc w:val="left"/>
        <w:rPr>
          <w:sz w:val="28"/>
        </w:rPr>
      </w:pPr>
    </w:p>
    <w:p>
      <w:pPr>
        <w:jc w:val="left"/>
        <w:rPr>
          <w:sz w:val="28"/>
        </w:rPr>
      </w:pPr>
    </w:p>
    <w:p>
      <w:pPr>
        <w:pStyle w:val="2"/>
        <w:rPr>
          <w:sz w:val="28"/>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jc w:val="left"/>
        <w:rPr>
          <w:rFonts w:hint="eastAsia"/>
          <w:sz w:val="28"/>
          <w:lang w:val="en-US" w:eastAsia="zh-CN"/>
        </w:rPr>
      </w:pPr>
      <w:r>
        <w:rPr>
          <w:rFonts w:hint="eastAsia"/>
          <w:sz w:val="28"/>
          <w:lang w:val="en-US" w:eastAsia="zh-CN"/>
        </w:rPr>
        <w:t>陕西陆运帮网络科技有限公司</w:t>
      </w:r>
    </w:p>
    <w:p>
      <w:pPr>
        <w:pStyle w:val="2"/>
        <w:rPr>
          <w:rFonts w:hint="default" w:ascii="仿宋" w:hAnsi="仿宋" w:eastAsia="仿宋" w:cs="仿宋"/>
          <w:sz w:val="28"/>
          <w:szCs w:val="28"/>
          <w:lang w:val="en-US" w:eastAsia="zh-CN"/>
        </w:rPr>
      </w:pPr>
      <w:r>
        <w:rPr>
          <w:rFonts w:hint="eastAsia" w:ascii="仿宋" w:hAnsi="仿宋" w:eastAsia="仿宋" w:cs="仿宋"/>
          <w:sz w:val="28"/>
          <w:szCs w:val="28"/>
        </w:rPr>
        <w:t>陕西省西安市国际港务区港务大道陆港金融小镇A座</w:t>
      </w:r>
      <w:r>
        <w:rPr>
          <w:rFonts w:hint="eastAsia" w:ascii="仿宋" w:hAnsi="仿宋" w:eastAsia="仿宋" w:cs="仿宋"/>
          <w:sz w:val="28"/>
          <w:szCs w:val="28"/>
          <w:lang w:val="en-US" w:eastAsia="zh-CN"/>
        </w:rPr>
        <w:t>2202</w:t>
      </w:r>
    </w:p>
    <w:p>
      <w:pPr>
        <w:jc w:val="left"/>
        <w:rPr>
          <w:sz w:val="28"/>
        </w:rPr>
      </w:pPr>
      <w:r>
        <w:rPr>
          <w:rFonts w:hint="eastAsia"/>
          <w:sz w:val="28"/>
        </w:rPr>
        <w:t>电话：</w:t>
      </w:r>
      <w:r>
        <w:rPr>
          <w:rFonts w:hint="eastAsia" w:ascii="仿宋" w:hAnsi="仿宋" w:eastAsia="仿宋" w:cs="仿宋"/>
          <w:sz w:val="28"/>
          <w:szCs w:val="28"/>
        </w:rPr>
        <w:t>400-088-5256</w:t>
      </w:r>
    </w:p>
    <w:p>
      <w:pPr>
        <w:jc w:val="left"/>
        <w:rPr>
          <w:rStyle w:val="26"/>
          <w:sz w:val="28"/>
        </w:rPr>
      </w:pPr>
      <w:r>
        <w:rPr>
          <w:rFonts w:hint="eastAsia"/>
          <w:sz w:val="28"/>
        </w:rPr>
        <w:t>网址：</w:t>
      </w:r>
      <w:r>
        <w:rPr>
          <w:rStyle w:val="26"/>
          <w:sz w:val="28"/>
        </w:rPr>
        <w:fldChar w:fldCharType="begin"/>
      </w:r>
      <w:r>
        <w:rPr>
          <w:rStyle w:val="26"/>
          <w:sz w:val="28"/>
        </w:rPr>
        <w:instrText xml:space="preserve"> HYPERLINK "http://www.eosine.com.cn" </w:instrText>
      </w:r>
      <w:r>
        <w:rPr>
          <w:rStyle w:val="26"/>
          <w:sz w:val="28"/>
        </w:rPr>
        <w:fldChar w:fldCharType="separate"/>
      </w:r>
      <w:r>
        <w:rPr>
          <w:rStyle w:val="26"/>
          <w:rFonts w:hint="eastAsia"/>
          <w:sz w:val="28"/>
        </w:rPr>
        <w:t>www.</w:t>
      </w:r>
      <w:r>
        <w:rPr>
          <w:rStyle w:val="26"/>
          <w:rFonts w:hint="eastAsia"/>
          <w:sz w:val="28"/>
          <w:lang w:val="en-US" w:eastAsia="zh-CN"/>
        </w:rPr>
        <w:t>sxlyb</w:t>
      </w:r>
      <w:r>
        <w:rPr>
          <w:rStyle w:val="26"/>
          <w:rFonts w:hint="eastAsia"/>
          <w:sz w:val="28"/>
        </w:rPr>
        <w:t>.com</w:t>
      </w:r>
      <w:r>
        <w:rPr>
          <w:rStyle w:val="26"/>
          <w:sz w:val="28"/>
        </w:rPr>
        <w:fldChar w:fldCharType="end"/>
      </w:r>
    </w:p>
    <w:p>
      <w:pPr>
        <w:pStyle w:val="2"/>
      </w:pPr>
    </w:p>
    <w:p>
      <w:pPr>
        <w:rPr>
          <w:rFonts w:hint="eastAsia"/>
          <w:lang w:val="zh-CN"/>
        </w:rPr>
      </w:pPr>
    </w:p>
    <w:sdt>
      <w:sdtPr>
        <w:rPr>
          <w:rFonts w:ascii="宋体" w:hAnsi="宋体" w:eastAsia="宋体" w:cs="Times New Roman"/>
          <w:kern w:val="2"/>
          <w:sz w:val="21"/>
          <w:szCs w:val="24"/>
          <w:lang w:val="en-US" w:eastAsia="zh-CN" w:bidi="ar-SA"/>
        </w:rPr>
        <w:id w:val="147450891"/>
        <w15:color w:val="DBDBDB"/>
        <w:docPartObj>
          <w:docPartGallery w:val="Table of Contents"/>
          <w:docPartUnique/>
        </w:docPartObj>
      </w:sdtPr>
      <w:sdtEndPr>
        <w:rPr>
          <w:rFonts w:hint="eastAsia" w:ascii="宋体" w:hAnsi="宋体" w:eastAsia="宋体" w:cs="宋体"/>
          <w:kern w:val="2"/>
          <w:sz w:val="24"/>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8"/>
            <w:tabs>
              <w:tab w:val="right" w:leader="dot" w:pos="8306"/>
              <w:tab w:val="clear" w:pos="420"/>
              <w:tab w:val="clear" w:pos="8296"/>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"1-3" \h \u </w:instrText>
          </w:r>
          <w:r>
            <w:rPr>
              <w:rFonts w:hint="eastAsia" w:ascii="宋体" w:hAnsi="宋体" w:eastAsia="宋体" w:cs="宋体"/>
              <w:sz w:val="24"/>
              <w:szCs w:val="24"/>
            </w:rPr>
            <w:fldChar w:fldCharType="separate"/>
          </w:r>
          <w:r>
            <w:rPr>
              <w:rFonts w:hint="eastAsia" w:ascii="宋体" w:hAnsi="宋体" w:eastAsia="宋体" w:cs="宋体"/>
              <w:szCs w:val="24"/>
            </w:rPr>
            <w:fldChar w:fldCharType="begin"/>
          </w:r>
          <w:r>
            <w:rPr>
              <w:rFonts w:hint="eastAsia" w:ascii="宋体" w:hAnsi="宋体" w:eastAsia="宋体" w:cs="宋体"/>
              <w:szCs w:val="24"/>
            </w:rPr>
            <w:instrText xml:space="preserve"> HYPERLINK \l _Toc3045 </w:instrText>
          </w:r>
          <w:r>
            <w:rPr>
              <w:rFonts w:hint="eastAsia" w:ascii="宋体" w:hAnsi="宋体" w:eastAsia="宋体" w:cs="宋体"/>
              <w:szCs w:val="24"/>
            </w:rPr>
            <w:fldChar w:fldCharType="separate"/>
          </w:r>
          <w:r>
            <w:rPr>
              <w:rFonts w:hint="eastAsia" w:ascii="宋体" w:hAnsi="宋体" w:eastAsia="宋体" w:cs="宋体"/>
              <w:szCs w:val="24"/>
            </w:rPr>
            <w:t>1 致函</w:t>
          </w:r>
          <w:r>
            <w:tab/>
          </w:r>
          <w:r>
            <w:fldChar w:fldCharType="begin"/>
          </w:r>
          <w:r>
            <w:instrText xml:space="preserve"> PAGEREF _Toc3045 \h </w:instrText>
          </w:r>
          <w:r>
            <w:fldChar w:fldCharType="separate"/>
          </w:r>
          <w:r>
            <w:t>5</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_Toc30022 </w:instrText>
          </w:r>
          <w:r>
            <w:rPr>
              <w:rFonts w:hint="eastAsia" w:ascii="宋体" w:hAnsi="宋体" w:eastAsia="宋体" w:cs="宋体"/>
              <w:szCs w:val="24"/>
            </w:rPr>
            <w:fldChar w:fldCharType="separate"/>
          </w:r>
          <w:r>
            <w:rPr>
              <w:rFonts w:hint="eastAsia" w:ascii="宋体" w:hAnsi="宋体" w:eastAsia="宋体" w:cs="宋体"/>
              <w:szCs w:val="24"/>
            </w:rPr>
            <w:t xml:space="preserve">2 </w:t>
          </w:r>
          <w:r>
            <w:rPr>
              <w:rFonts w:hint="eastAsia" w:ascii="宋体" w:hAnsi="宋体" w:eastAsia="宋体" w:cs="宋体"/>
              <w:bCs w:val="0"/>
              <w:iCs/>
              <w:szCs w:val="24"/>
            </w:rPr>
            <w:t>概述</w:t>
          </w:r>
          <w:r>
            <w:tab/>
          </w:r>
          <w:r>
            <w:fldChar w:fldCharType="begin"/>
          </w:r>
          <w:r>
            <w:instrText xml:space="preserve"> PAGEREF _Toc30022 \h </w:instrText>
          </w:r>
          <w:r>
            <w:fldChar w:fldCharType="separate"/>
          </w:r>
          <w:r>
            <w:t>5</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_Toc14716 </w:instrText>
          </w:r>
          <w:r>
            <w:rPr>
              <w:rFonts w:hint="eastAsia" w:ascii="宋体" w:hAnsi="宋体" w:eastAsia="宋体" w:cs="宋体"/>
              <w:szCs w:val="24"/>
            </w:rPr>
            <w:fldChar w:fldCharType="separate"/>
          </w:r>
          <w:r>
            <w:rPr>
              <w:rFonts w:hint="eastAsia" w:ascii="宋体" w:hAnsi="宋体" w:eastAsia="宋体" w:cs="宋体"/>
              <w:bCs w:val="0"/>
              <w:szCs w:val="24"/>
            </w:rPr>
            <w:t xml:space="preserve">3 </w:t>
          </w:r>
          <w:r>
            <w:rPr>
              <w:rFonts w:hint="eastAsia" w:ascii="宋体" w:hAnsi="宋体" w:eastAsia="宋体" w:cs="宋体"/>
              <w:szCs w:val="24"/>
            </w:rPr>
            <w:t>项目背景</w:t>
          </w:r>
          <w:r>
            <w:tab/>
          </w:r>
          <w:r>
            <w:fldChar w:fldCharType="begin"/>
          </w:r>
          <w:r>
            <w:instrText xml:space="preserve"> PAGEREF _Toc14716 \h </w:instrText>
          </w:r>
          <w:r>
            <w:fldChar w:fldCharType="separate"/>
          </w:r>
          <w:r>
            <w:t>5</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_Toc16764 </w:instrText>
          </w:r>
          <w:r>
            <w:rPr>
              <w:rFonts w:hint="eastAsia" w:ascii="宋体" w:hAnsi="宋体" w:eastAsia="宋体" w:cs="宋体"/>
              <w:szCs w:val="24"/>
            </w:rPr>
            <w:fldChar w:fldCharType="separate"/>
          </w:r>
          <w:r>
            <w:rPr>
              <w:rFonts w:hint="eastAsia" w:ascii="宋体" w:hAnsi="宋体" w:eastAsia="宋体" w:cs="宋体"/>
              <w:bCs w:val="0"/>
              <w:szCs w:val="24"/>
            </w:rPr>
            <w:t>3.1 项目目标</w:t>
          </w:r>
          <w:r>
            <w:tab/>
          </w:r>
          <w:r>
            <w:fldChar w:fldCharType="begin"/>
          </w:r>
          <w:r>
            <w:instrText xml:space="preserve"> PAGEREF _Toc16764 \h </w:instrText>
          </w:r>
          <w:r>
            <w:fldChar w:fldCharType="separate"/>
          </w:r>
          <w:r>
            <w:t>6</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_Toc27268 </w:instrText>
          </w:r>
          <w:r>
            <w:rPr>
              <w:rFonts w:hint="eastAsia" w:ascii="宋体" w:hAnsi="宋体" w:eastAsia="宋体" w:cs="宋体"/>
              <w:szCs w:val="24"/>
            </w:rPr>
            <w:fldChar w:fldCharType="separate"/>
          </w:r>
          <w:r>
            <w:rPr>
              <w:rFonts w:hint="eastAsia" w:ascii="宋体" w:hAnsi="宋体" w:eastAsia="宋体" w:cs="宋体"/>
              <w:szCs w:val="24"/>
            </w:rPr>
            <w:t>3.2 预期项目应用后效果</w:t>
          </w:r>
          <w:r>
            <w:tab/>
          </w:r>
          <w:r>
            <w:fldChar w:fldCharType="begin"/>
          </w:r>
          <w:r>
            <w:instrText xml:space="preserve"> PAGEREF _Toc27268 \h </w:instrText>
          </w:r>
          <w:r>
            <w:fldChar w:fldCharType="separate"/>
          </w:r>
          <w:r>
            <w:t>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_Toc12166 </w:instrText>
          </w:r>
          <w:r>
            <w:rPr>
              <w:rFonts w:hint="eastAsia" w:ascii="宋体" w:hAnsi="宋体" w:eastAsia="宋体" w:cs="宋体"/>
              <w:szCs w:val="24"/>
            </w:rPr>
            <w:fldChar w:fldCharType="separate"/>
          </w:r>
          <w:r>
            <w:rPr>
              <w:rFonts w:hint="eastAsia" w:ascii="宋体" w:hAnsi="宋体" w:eastAsia="宋体" w:cs="宋体"/>
              <w:szCs w:val="24"/>
            </w:rPr>
            <w:t>3.2.1 应用效果提升</w:t>
          </w:r>
          <w:r>
            <w:tab/>
          </w:r>
          <w:r>
            <w:fldChar w:fldCharType="begin"/>
          </w:r>
          <w:r>
            <w:instrText xml:space="preserve"> PAGEREF _Toc12166 \h </w:instrText>
          </w:r>
          <w:r>
            <w:fldChar w:fldCharType="separate"/>
          </w:r>
          <w:r>
            <w:t>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_Toc22175 </w:instrText>
          </w:r>
          <w:r>
            <w:rPr>
              <w:rFonts w:hint="eastAsia" w:ascii="宋体" w:hAnsi="宋体" w:eastAsia="宋体" w:cs="宋体"/>
              <w:szCs w:val="24"/>
            </w:rPr>
            <w:fldChar w:fldCharType="separate"/>
          </w:r>
          <w:r>
            <w:rPr>
              <w:rFonts w:hint="eastAsia" w:ascii="宋体" w:hAnsi="宋体" w:eastAsia="宋体" w:cs="宋体"/>
              <w:szCs w:val="24"/>
            </w:rPr>
            <w:t>3.2.2 综合提升效果</w:t>
          </w:r>
          <w:r>
            <w:tab/>
          </w:r>
          <w:r>
            <w:fldChar w:fldCharType="begin"/>
          </w:r>
          <w:r>
            <w:instrText xml:space="preserve"> PAGEREF _Toc22175 \h </w:instrText>
          </w:r>
          <w:r>
            <w:fldChar w:fldCharType="separate"/>
          </w:r>
          <w:r>
            <w:t>8</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_Toc7079 </w:instrText>
          </w:r>
          <w:r>
            <w:rPr>
              <w:rFonts w:hint="eastAsia" w:ascii="宋体" w:hAnsi="宋体" w:eastAsia="宋体" w:cs="宋体"/>
              <w:szCs w:val="24"/>
            </w:rPr>
            <w:fldChar w:fldCharType="separate"/>
          </w:r>
          <w:r>
            <w:rPr>
              <w:rFonts w:hint="eastAsia" w:ascii="宋体" w:hAnsi="宋体" w:eastAsia="宋体" w:cs="宋体"/>
              <w:szCs w:val="24"/>
            </w:rPr>
            <w:t>3.3 现场改造及设备建设范围</w:t>
          </w:r>
          <w:r>
            <w:tab/>
          </w:r>
          <w:r>
            <w:fldChar w:fldCharType="begin"/>
          </w:r>
          <w:r>
            <w:instrText xml:space="preserve"> PAGEREF _Toc7079 \h </w:instrText>
          </w:r>
          <w:r>
            <w:fldChar w:fldCharType="separate"/>
          </w:r>
          <w:r>
            <w:t>10</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_Toc1930 </w:instrText>
          </w:r>
          <w:r>
            <w:rPr>
              <w:rFonts w:hint="eastAsia" w:ascii="宋体" w:hAnsi="宋体" w:eastAsia="宋体" w:cs="宋体"/>
              <w:szCs w:val="24"/>
            </w:rPr>
            <w:fldChar w:fldCharType="separate"/>
          </w:r>
          <w:r>
            <w:rPr>
              <w:rFonts w:hint="eastAsia" w:ascii="宋体" w:hAnsi="宋体" w:eastAsia="宋体" w:cs="宋体"/>
              <w:szCs w:val="24"/>
            </w:rPr>
            <w:t>3.3.1 门岗建设范围</w:t>
          </w:r>
          <w:r>
            <w:tab/>
          </w:r>
          <w:r>
            <w:fldChar w:fldCharType="begin"/>
          </w:r>
          <w:r>
            <w:instrText xml:space="preserve"> PAGEREF _Toc1930 \h </w:instrText>
          </w:r>
          <w:r>
            <w:fldChar w:fldCharType="separate"/>
          </w:r>
          <w:r>
            <w:t>10</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_Toc5409 </w:instrText>
          </w:r>
          <w:r>
            <w:rPr>
              <w:rFonts w:hint="eastAsia" w:ascii="宋体" w:hAnsi="宋体" w:eastAsia="宋体" w:cs="宋体"/>
              <w:szCs w:val="24"/>
            </w:rPr>
            <w:fldChar w:fldCharType="separate"/>
          </w:r>
          <w:r>
            <w:rPr>
              <w:rFonts w:hint="eastAsia" w:ascii="宋体" w:hAnsi="宋体" w:eastAsia="宋体" w:cs="宋体"/>
              <w:szCs w:val="24"/>
            </w:rPr>
            <w:t>3.3.2 汽车衡建设范围</w:t>
          </w:r>
          <w:r>
            <w:tab/>
          </w:r>
          <w:r>
            <w:fldChar w:fldCharType="begin"/>
          </w:r>
          <w:r>
            <w:instrText xml:space="preserve"> PAGEREF _Toc5409 \h </w:instrText>
          </w:r>
          <w:r>
            <w:fldChar w:fldCharType="separate"/>
          </w:r>
          <w:r>
            <w:t>10</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_Toc12812 </w:instrText>
          </w:r>
          <w:r>
            <w:rPr>
              <w:rFonts w:hint="eastAsia" w:ascii="宋体" w:hAnsi="宋体" w:eastAsia="宋体" w:cs="宋体"/>
              <w:szCs w:val="24"/>
            </w:rPr>
            <w:fldChar w:fldCharType="separate"/>
          </w:r>
          <w:r>
            <w:rPr>
              <w:rFonts w:hint="eastAsia" w:ascii="宋体" w:hAnsi="宋体" w:eastAsia="宋体" w:cs="宋体"/>
              <w:szCs w:val="24"/>
            </w:rPr>
            <w:t>3.3.3 计量集中监管中心</w:t>
          </w:r>
          <w:r>
            <w:tab/>
          </w:r>
          <w:r>
            <w:fldChar w:fldCharType="begin"/>
          </w:r>
          <w:r>
            <w:instrText xml:space="preserve"> PAGEREF _Toc12812 \h </w:instrText>
          </w:r>
          <w:r>
            <w:fldChar w:fldCharType="separate"/>
          </w:r>
          <w:r>
            <w:t>11</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_Toc7656 </w:instrText>
          </w:r>
          <w:r>
            <w:rPr>
              <w:rFonts w:hint="eastAsia" w:ascii="宋体" w:hAnsi="宋体" w:eastAsia="宋体" w:cs="宋体"/>
              <w:szCs w:val="24"/>
            </w:rPr>
            <w:fldChar w:fldCharType="separate"/>
          </w:r>
          <w:r>
            <w:rPr>
              <w:rFonts w:hint="eastAsia" w:ascii="宋体" w:hAnsi="宋体" w:eastAsia="宋体" w:cs="宋体"/>
              <w:szCs w:val="24"/>
            </w:rPr>
            <w:t>4 总体设计</w:t>
          </w:r>
          <w:r>
            <w:tab/>
          </w:r>
          <w:r>
            <w:fldChar w:fldCharType="begin"/>
          </w:r>
          <w:r>
            <w:instrText xml:space="preserve"> PAGEREF _Toc7656 \h </w:instrText>
          </w:r>
          <w:r>
            <w:fldChar w:fldCharType="separate"/>
          </w:r>
          <w:r>
            <w:t>13</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_Toc5997 </w:instrText>
          </w:r>
          <w:r>
            <w:rPr>
              <w:rFonts w:hint="eastAsia" w:ascii="宋体" w:hAnsi="宋体" w:eastAsia="宋体" w:cs="宋体"/>
              <w:szCs w:val="24"/>
            </w:rPr>
            <w:fldChar w:fldCharType="separate"/>
          </w:r>
          <w:r>
            <w:rPr>
              <w:rFonts w:hint="eastAsia" w:ascii="宋体" w:hAnsi="宋体" w:eastAsia="宋体" w:cs="宋体"/>
              <w:szCs w:val="24"/>
            </w:rPr>
            <w:t>4.1 系统整体架构设计</w:t>
          </w:r>
          <w:r>
            <w:tab/>
          </w:r>
          <w:r>
            <w:fldChar w:fldCharType="begin"/>
          </w:r>
          <w:r>
            <w:instrText xml:space="preserve"> PAGEREF _Toc5997 \h </w:instrText>
          </w:r>
          <w:r>
            <w:fldChar w:fldCharType="separate"/>
          </w:r>
          <w:r>
            <w:t>13</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_Toc9407 </w:instrText>
          </w:r>
          <w:r>
            <w:rPr>
              <w:rFonts w:hint="eastAsia" w:ascii="宋体" w:hAnsi="宋体" w:eastAsia="宋体" w:cs="宋体"/>
              <w:szCs w:val="24"/>
            </w:rPr>
            <w:fldChar w:fldCharType="separate"/>
          </w:r>
          <w:r>
            <w:rPr>
              <w:rFonts w:hint="eastAsia" w:ascii="宋体" w:hAnsi="宋体" w:eastAsia="宋体" w:cs="宋体"/>
              <w:szCs w:val="24"/>
            </w:rPr>
            <w:t>4.2 系统网络拓扑设计</w:t>
          </w:r>
          <w:r>
            <w:tab/>
          </w:r>
          <w:r>
            <w:fldChar w:fldCharType="begin"/>
          </w:r>
          <w:r>
            <w:instrText xml:space="preserve"> PAGEREF _Toc9407 \h </w:instrText>
          </w:r>
          <w:r>
            <w:fldChar w:fldCharType="separate"/>
          </w:r>
          <w:r>
            <w:t>14</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_Toc15257 </w:instrText>
          </w:r>
          <w:r>
            <w:rPr>
              <w:rFonts w:hint="eastAsia" w:ascii="宋体" w:hAnsi="宋体" w:eastAsia="宋体" w:cs="宋体"/>
              <w:szCs w:val="24"/>
            </w:rPr>
            <w:fldChar w:fldCharType="separate"/>
          </w:r>
          <w:r>
            <w:rPr>
              <w:rFonts w:hint="eastAsia" w:ascii="宋体" w:hAnsi="宋体" w:eastAsia="宋体" w:cs="宋体"/>
              <w:szCs w:val="24"/>
              <w:lang w:val="en-US" w:eastAsia="zh-CN"/>
            </w:rPr>
            <w:t xml:space="preserve">4.3 </w:t>
          </w:r>
          <w:r>
            <w:rPr>
              <w:rFonts w:hint="eastAsia" w:ascii="宋体" w:hAnsi="宋体" w:eastAsia="宋体" w:cs="宋体"/>
              <w:szCs w:val="24"/>
            </w:rPr>
            <w:t>业务流程示意</w:t>
          </w:r>
          <w:r>
            <w:tab/>
          </w:r>
          <w:r>
            <w:fldChar w:fldCharType="begin"/>
          </w:r>
          <w:r>
            <w:instrText xml:space="preserve"> PAGEREF _Toc15257 \h </w:instrText>
          </w:r>
          <w:r>
            <w:fldChar w:fldCharType="separate"/>
          </w:r>
          <w:r>
            <w:t>15</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_Toc30030 </w:instrText>
          </w:r>
          <w:r>
            <w:rPr>
              <w:rFonts w:hint="eastAsia" w:ascii="宋体" w:hAnsi="宋体" w:eastAsia="宋体" w:cs="宋体"/>
              <w:szCs w:val="24"/>
            </w:rPr>
            <w:fldChar w:fldCharType="separate"/>
          </w:r>
          <w:r>
            <w:rPr>
              <w:rFonts w:hint="eastAsia" w:ascii="宋体" w:hAnsi="宋体" w:eastAsia="宋体" w:cs="宋体"/>
              <w:szCs w:val="24"/>
            </w:rPr>
            <w:t>4.4 业务流程描述</w:t>
          </w:r>
          <w:r>
            <w:tab/>
          </w:r>
          <w:r>
            <w:fldChar w:fldCharType="begin"/>
          </w:r>
          <w:r>
            <w:instrText xml:space="preserve"> PAGEREF _Toc30030 \h </w:instrText>
          </w:r>
          <w:r>
            <w:fldChar w:fldCharType="separate"/>
          </w:r>
          <w:r>
            <w:t>18</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_Toc23892 </w:instrText>
          </w:r>
          <w:r>
            <w:rPr>
              <w:rFonts w:hint="eastAsia" w:ascii="宋体" w:hAnsi="宋体" w:eastAsia="宋体" w:cs="宋体"/>
              <w:szCs w:val="24"/>
            </w:rPr>
            <w:fldChar w:fldCharType="separate"/>
          </w:r>
          <w:r>
            <w:rPr>
              <w:rFonts w:hint="eastAsia" w:ascii="宋体" w:hAnsi="宋体" w:eastAsia="宋体" w:cs="宋体"/>
              <w:szCs w:val="24"/>
              <w:lang w:val="en-US" w:eastAsia="zh-CN"/>
            </w:rPr>
            <w:t xml:space="preserve">5 </w:t>
          </w:r>
          <w:r>
            <w:rPr>
              <w:rFonts w:hint="eastAsia" w:ascii="宋体" w:hAnsi="宋体" w:eastAsia="宋体" w:cs="宋体"/>
              <w:szCs w:val="24"/>
            </w:rPr>
            <w:t>功能模块及详情</w:t>
          </w:r>
          <w:r>
            <w:tab/>
          </w:r>
          <w:r>
            <w:fldChar w:fldCharType="begin"/>
          </w:r>
          <w:r>
            <w:instrText xml:space="preserve"> PAGEREF _Toc23892 \h </w:instrText>
          </w:r>
          <w:r>
            <w:fldChar w:fldCharType="separate"/>
          </w:r>
          <w:r>
            <w:t>18</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_Toc30208 </w:instrText>
          </w:r>
          <w:r>
            <w:rPr>
              <w:rFonts w:hint="eastAsia" w:ascii="宋体" w:hAnsi="宋体" w:eastAsia="宋体" w:cs="宋体"/>
              <w:szCs w:val="24"/>
            </w:rPr>
            <w:fldChar w:fldCharType="separate"/>
          </w:r>
          <w:r>
            <w:rPr>
              <w:rFonts w:hint="eastAsia" w:ascii="宋体" w:hAnsi="宋体" w:eastAsia="宋体" w:cs="宋体"/>
              <w:szCs w:val="24"/>
            </w:rPr>
            <w:t>5.1后台管理系统</w:t>
          </w:r>
          <w:r>
            <w:tab/>
          </w:r>
          <w:r>
            <w:fldChar w:fldCharType="begin"/>
          </w:r>
          <w:r>
            <w:instrText xml:space="preserve"> PAGEREF _Toc30208 \h </w:instrText>
          </w:r>
          <w:r>
            <w:fldChar w:fldCharType="separate"/>
          </w:r>
          <w:r>
            <w:t>18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_Toc18739 </w:instrText>
          </w:r>
          <w:r>
            <w:rPr>
              <w:rFonts w:hint="eastAsia" w:ascii="宋体" w:hAnsi="宋体" w:eastAsia="宋体" w:cs="宋体"/>
              <w:szCs w:val="24"/>
            </w:rPr>
            <w:fldChar w:fldCharType="separate"/>
          </w:r>
          <w:r>
            <w:rPr>
              <w:rFonts w:hint="eastAsia" w:ascii="宋体" w:hAnsi="宋体" w:eastAsia="宋体" w:cs="宋体"/>
              <w:szCs w:val="24"/>
            </w:rPr>
            <w:t>5.1.1租户管理</w:t>
          </w:r>
          <w:r>
            <w:tab/>
          </w:r>
          <w:r>
            <w:fldChar w:fldCharType="begin"/>
          </w:r>
          <w:r>
            <w:instrText xml:space="preserve"> PAGEREF _Toc18739 \h </w:instrText>
          </w:r>
          <w:r>
            <w:fldChar w:fldCharType="separate"/>
          </w:r>
          <w:r>
            <w:t>18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_Toc2466 </w:instrText>
          </w:r>
          <w:r>
            <w:rPr>
              <w:rFonts w:hint="eastAsia" w:ascii="宋体" w:hAnsi="宋体" w:eastAsia="宋体" w:cs="宋体"/>
              <w:szCs w:val="24"/>
            </w:rPr>
            <w:fldChar w:fldCharType="separate"/>
          </w:r>
          <w:r>
            <w:rPr>
              <w:rFonts w:hint="eastAsia" w:ascii="宋体" w:hAnsi="宋体" w:eastAsia="宋体" w:cs="宋体"/>
              <w:szCs w:val="24"/>
            </w:rPr>
            <w:t>5.1.2用户管理</w:t>
          </w:r>
          <w:r>
            <w:tab/>
          </w:r>
          <w:r>
            <w:fldChar w:fldCharType="begin"/>
          </w:r>
          <w:r>
            <w:instrText xml:space="preserve"> PAGEREF _Toc2466 \h </w:instrText>
          </w:r>
          <w:r>
            <w:fldChar w:fldCharType="separate"/>
          </w:r>
          <w:r>
            <w:t>18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_Toc9524 </w:instrText>
          </w:r>
          <w:r>
            <w:rPr>
              <w:rFonts w:hint="eastAsia" w:ascii="宋体" w:hAnsi="宋体" w:eastAsia="宋体" w:cs="宋体"/>
              <w:szCs w:val="24"/>
            </w:rPr>
            <w:fldChar w:fldCharType="separate"/>
          </w:r>
          <w:r>
            <w:rPr>
              <w:rFonts w:hint="eastAsia" w:ascii="宋体" w:hAnsi="宋体" w:eastAsia="宋体" w:cs="宋体"/>
              <w:szCs w:val="24"/>
            </w:rPr>
            <w:t>5.1.3客户管理</w:t>
          </w:r>
          <w:r>
            <w:tab/>
          </w:r>
          <w:r>
            <w:fldChar w:fldCharType="begin"/>
          </w:r>
          <w:r>
            <w:instrText xml:space="preserve"> PAGEREF _Toc9524 \h </w:instrText>
          </w:r>
          <w:r>
            <w:fldChar w:fldCharType="separate"/>
          </w:r>
          <w:r>
            <w:t>19</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_Toc23315 </w:instrText>
          </w:r>
          <w:r>
            <w:rPr>
              <w:rFonts w:hint="eastAsia" w:ascii="宋体" w:hAnsi="宋体" w:eastAsia="宋体" w:cs="宋体"/>
              <w:szCs w:val="24"/>
            </w:rPr>
            <w:fldChar w:fldCharType="separate"/>
          </w:r>
          <w:r>
            <w:rPr>
              <w:rFonts w:hint="eastAsia" w:ascii="宋体" w:hAnsi="宋体" w:eastAsia="宋体" w:cs="宋体"/>
              <w:szCs w:val="24"/>
            </w:rPr>
            <w:t>5.1.4派车管理</w:t>
          </w:r>
          <w:r>
            <w:tab/>
          </w:r>
          <w:r>
            <w:fldChar w:fldCharType="begin"/>
          </w:r>
          <w:r>
            <w:instrText xml:space="preserve"> PAGEREF _Toc23315 \h </w:instrText>
          </w:r>
          <w:r>
            <w:fldChar w:fldCharType="separate"/>
          </w:r>
          <w:r>
            <w:t>19</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_Toc547 </w:instrText>
          </w:r>
          <w:r>
            <w:rPr>
              <w:rFonts w:hint="eastAsia" w:ascii="宋体" w:hAnsi="宋体" w:eastAsia="宋体" w:cs="宋体"/>
              <w:szCs w:val="24"/>
            </w:rPr>
            <w:fldChar w:fldCharType="separate"/>
          </w:r>
          <w:r>
            <w:rPr>
              <w:rFonts w:hint="eastAsia" w:ascii="宋体" w:hAnsi="宋体" w:eastAsia="宋体" w:cs="宋体"/>
              <w:szCs w:val="24"/>
            </w:rPr>
            <w:t>5.1.5运单中心</w:t>
          </w:r>
          <w:r>
            <w:tab/>
          </w:r>
          <w:r>
            <w:fldChar w:fldCharType="begin"/>
          </w:r>
          <w:r>
            <w:instrText xml:space="preserve"> PAGEREF _Toc547 \h </w:instrText>
          </w:r>
          <w:r>
            <w:fldChar w:fldCharType="separate"/>
          </w:r>
          <w:r>
            <w:t>20</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_Toc19353 </w:instrText>
          </w:r>
          <w:r>
            <w:rPr>
              <w:rFonts w:hint="eastAsia" w:ascii="宋体" w:hAnsi="宋体" w:eastAsia="宋体" w:cs="宋体"/>
              <w:szCs w:val="24"/>
            </w:rPr>
            <w:fldChar w:fldCharType="separate"/>
          </w:r>
          <w:r>
            <w:rPr>
              <w:rFonts w:hint="eastAsia" w:ascii="宋体" w:hAnsi="宋体" w:eastAsia="宋体" w:cs="宋体"/>
              <w:szCs w:val="24"/>
            </w:rPr>
            <w:t>5.1.6计量过磅</w:t>
          </w:r>
          <w:r>
            <w:tab/>
          </w:r>
          <w:r>
            <w:fldChar w:fldCharType="begin"/>
          </w:r>
          <w:r>
            <w:instrText xml:space="preserve"> PAGEREF _Toc19353 \h </w:instrText>
          </w:r>
          <w:r>
            <w:fldChar w:fldCharType="separate"/>
          </w:r>
          <w:r>
            <w:t>21</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_Toc10552 </w:instrText>
          </w:r>
          <w:r>
            <w:rPr>
              <w:rFonts w:hint="eastAsia" w:ascii="宋体" w:hAnsi="宋体" w:eastAsia="宋体" w:cs="宋体"/>
              <w:szCs w:val="24"/>
            </w:rPr>
            <w:fldChar w:fldCharType="separate"/>
          </w:r>
          <w:r>
            <w:rPr>
              <w:rFonts w:hint="eastAsia" w:ascii="宋体" w:hAnsi="宋体" w:eastAsia="宋体" w:cs="宋体"/>
              <w:szCs w:val="24"/>
            </w:rPr>
            <w:t>5.1.7统计报表</w:t>
          </w:r>
          <w:r>
            <w:tab/>
          </w:r>
          <w:r>
            <w:fldChar w:fldCharType="begin"/>
          </w:r>
          <w:r>
            <w:instrText xml:space="preserve"> PAGEREF _Toc10552 \h </w:instrText>
          </w:r>
          <w:r>
            <w:fldChar w:fldCharType="separate"/>
          </w:r>
          <w:r>
            <w:t>21</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_Toc16517 </w:instrText>
          </w:r>
          <w:r>
            <w:rPr>
              <w:rFonts w:hint="eastAsia" w:ascii="宋体" w:hAnsi="宋体" w:eastAsia="宋体" w:cs="宋体"/>
              <w:szCs w:val="24"/>
            </w:rPr>
            <w:fldChar w:fldCharType="separate"/>
          </w:r>
          <w:r>
            <w:rPr>
              <w:rFonts w:hint="eastAsia" w:ascii="宋体" w:hAnsi="宋体" w:eastAsia="宋体" w:cs="宋体"/>
              <w:szCs w:val="24"/>
            </w:rPr>
            <w:t>5.1.8库存管理</w:t>
          </w:r>
          <w:r>
            <w:tab/>
          </w:r>
          <w:r>
            <w:fldChar w:fldCharType="begin"/>
          </w:r>
          <w:r>
            <w:instrText xml:space="preserve"> PAGEREF _Toc16517 \h </w:instrText>
          </w:r>
          <w:r>
            <w:fldChar w:fldCharType="separate"/>
          </w:r>
          <w:r>
            <w:t>22</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_Toc3984 </w:instrText>
          </w:r>
          <w:r>
            <w:rPr>
              <w:rFonts w:hint="eastAsia" w:ascii="宋体" w:hAnsi="宋体" w:eastAsia="宋体" w:cs="宋体"/>
              <w:szCs w:val="24"/>
            </w:rPr>
            <w:fldChar w:fldCharType="separate"/>
          </w:r>
          <w:r>
            <w:rPr>
              <w:rFonts w:hint="eastAsia" w:ascii="宋体" w:hAnsi="宋体" w:eastAsia="宋体" w:cs="宋体"/>
              <w:szCs w:val="24"/>
            </w:rPr>
            <w:t>5.1.9门禁管理</w:t>
          </w:r>
          <w:r>
            <w:tab/>
          </w:r>
          <w:r>
            <w:fldChar w:fldCharType="begin"/>
          </w:r>
          <w:r>
            <w:instrText xml:space="preserve"> PAGEREF _Toc3984 \h </w:instrText>
          </w:r>
          <w:r>
            <w:fldChar w:fldCharType="separate"/>
          </w:r>
          <w:r>
            <w:t>22</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_Toc13133 </w:instrText>
          </w:r>
          <w:r>
            <w:rPr>
              <w:rFonts w:hint="eastAsia" w:ascii="宋体" w:hAnsi="宋体" w:eastAsia="宋体" w:cs="宋体"/>
              <w:szCs w:val="24"/>
            </w:rPr>
            <w:fldChar w:fldCharType="separate"/>
          </w:r>
          <w:r>
            <w:rPr>
              <w:rFonts w:hint="eastAsia" w:ascii="宋体" w:hAnsi="宋体" w:eastAsia="宋体" w:cs="宋体"/>
              <w:szCs w:val="24"/>
            </w:rPr>
            <w:t>5.1.10系统设置</w:t>
          </w:r>
          <w:r>
            <w:tab/>
          </w:r>
          <w:r>
            <w:fldChar w:fldCharType="begin"/>
          </w:r>
          <w:r>
            <w:instrText xml:space="preserve"> PAGEREF _Toc13133 \h </w:instrText>
          </w:r>
          <w:r>
            <w:fldChar w:fldCharType="separate"/>
          </w:r>
          <w:r>
            <w:t>23</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_Toc26215 </w:instrText>
          </w:r>
          <w:r>
            <w:rPr>
              <w:rFonts w:hint="eastAsia" w:ascii="宋体" w:hAnsi="宋体" w:eastAsia="宋体" w:cs="宋体"/>
              <w:szCs w:val="24"/>
            </w:rPr>
            <w:fldChar w:fldCharType="separate"/>
          </w:r>
          <w:r>
            <w:rPr>
              <w:rFonts w:hint="eastAsia" w:ascii="宋体" w:hAnsi="宋体" w:eastAsia="宋体" w:cs="宋体"/>
              <w:szCs w:val="24"/>
            </w:rPr>
            <w:t>5.1.11权限管理</w:t>
          </w:r>
          <w:r>
            <w:tab/>
          </w:r>
          <w:r>
            <w:fldChar w:fldCharType="begin"/>
          </w:r>
          <w:r>
            <w:instrText xml:space="preserve"> PAGEREF _Toc26215 \h </w:instrText>
          </w:r>
          <w:r>
            <w:fldChar w:fldCharType="separate"/>
          </w:r>
          <w:r>
            <w:t>24</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_Toc16214 </w:instrText>
          </w:r>
          <w:r>
            <w:rPr>
              <w:rFonts w:hint="eastAsia" w:ascii="宋体" w:hAnsi="宋体" w:eastAsia="宋体" w:cs="宋体"/>
              <w:szCs w:val="24"/>
            </w:rPr>
            <w:fldChar w:fldCharType="separate"/>
          </w:r>
          <w:r>
            <w:rPr>
              <w:rFonts w:hint="eastAsia" w:ascii="宋体" w:hAnsi="宋体" w:eastAsia="宋体" w:cs="宋体"/>
              <w:szCs w:val="24"/>
            </w:rPr>
            <w:t>5.1.12基础数据</w:t>
          </w:r>
          <w:r>
            <w:tab/>
          </w:r>
          <w:r>
            <w:fldChar w:fldCharType="begin"/>
          </w:r>
          <w:r>
            <w:instrText xml:space="preserve"> PAGEREF _Toc16214 \h </w:instrText>
          </w:r>
          <w:r>
            <w:fldChar w:fldCharType="separate"/>
          </w:r>
          <w:r>
            <w:t>24</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_Toc13893 </w:instrText>
          </w:r>
          <w:r>
            <w:rPr>
              <w:rFonts w:hint="eastAsia" w:ascii="宋体" w:hAnsi="宋体" w:eastAsia="宋体" w:cs="宋体"/>
              <w:szCs w:val="24"/>
            </w:rPr>
            <w:fldChar w:fldCharType="separate"/>
          </w:r>
          <w:r>
            <w:rPr>
              <w:rFonts w:hint="eastAsia" w:ascii="宋体" w:hAnsi="宋体" w:eastAsia="宋体" w:cs="宋体"/>
              <w:szCs w:val="24"/>
            </w:rPr>
            <w:t>5.2管理端小程序</w:t>
          </w:r>
          <w:r>
            <w:tab/>
          </w:r>
          <w:r>
            <w:fldChar w:fldCharType="begin"/>
          </w:r>
          <w:r>
            <w:instrText xml:space="preserve"> PAGEREF _Toc13893 \h </w:instrText>
          </w:r>
          <w:r>
            <w:fldChar w:fldCharType="separate"/>
          </w:r>
          <w:r>
            <w:t>25</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_Toc750 </w:instrText>
          </w:r>
          <w:r>
            <w:rPr>
              <w:rFonts w:hint="eastAsia" w:ascii="宋体" w:hAnsi="宋体" w:eastAsia="宋体" w:cs="宋体"/>
              <w:szCs w:val="24"/>
            </w:rPr>
            <w:fldChar w:fldCharType="separate"/>
          </w:r>
          <w:r>
            <w:rPr>
              <w:rFonts w:hint="eastAsia" w:ascii="宋体" w:hAnsi="宋体" w:eastAsia="宋体" w:cs="宋体"/>
              <w:szCs w:val="24"/>
            </w:rPr>
            <w:t>5.2.1 派车</w:t>
          </w:r>
          <w:r>
            <w:tab/>
          </w:r>
          <w:r>
            <w:fldChar w:fldCharType="begin"/>
          </w:r>
          <w:r>
            <w:instrText xml:space="preserve"> PAGEREF _Toc750 \h </w:instrText>
          </w:r>
          <w:r>
            <w:fldChar w:fldCharType="separate"/>
          </w:r>
          <w:r>
            <w:t>25</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_Toc9345 </w:instrText>
          </w:r>
          <w:r>
            <w:rPr>
              <w:rFonts w:hint="eastAsia" w:ascii="宋体" w:hAnsi="宋体" w:eastAsia="宋体" w:cs="宋体"/>
              <w:szCs w:val="24"/>
            </w:rPr>
            <w:fldChar w:fldCharType="separate"/>
          </w:r>
          <w:r>
            <w:rPr>
              <w:rFonts w:hint="eastAsia" w:ascii="宋体" w:hAnsi="宋体" w:eastAsia="宋体" w:cs="宋体"/>
              <w:szCs w:val="24"/>
            </w:rPr>
            <w:t>5.2.2 统计信息</w:t>
          </w:r>
          <w:r>
            <w:tab/>
          </w:r>
          <w:r>
            <w:fldChar w:fldCharType="begin"/>
          </w:r>
          <w:r>
            <w:instrText xml:space="preserve"> PAGEREF _Toc9345 \h </w:instrText>
          </w:r>
          <w:r>
            <w:fldChar w:fldCharType="separate"/>
          </w:r>
          <w:r>
            <w:t>26</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_Toc5458 </w:instrText>
          </w:r>
          <w:r>
            <w:rPr>
              <w:rFonts w:hint="eastAsia" w:ascii="宋体" w:hAnsi="宋体" w:eastAsia="宋体" w:cs="宋体"/>
              <w:szCs w:val="24"/>
            </w:rPr>
            <w:fldChar w:fldCharType="separate"/>
          </w:r>
          <w:r>
            <w:rPr>
              <w:rFonts w:hint="eastAsia" w:ascii="宋体" w:hAnsi="宋体" w:eastAsia="宋体" w:cs="宋体"/>
              <w:szCs w:val="24"/>
            </w:rPr>
            <w:t>5.3司机端小程序</w:t>
          </w:r>
          <w:r>
            <w:tab/>
          </w:r>
          <w:r>
            <w:fldChar w:fldCharType="begin"/>
          </w:r>
          <w:r>
            <w:instrText xml:space="preserve"> PAGEREF _Toc5458 \h </w:instrText>
          </w:r>
          <w:r>
            <w:fldChar w:fldCharType="separate"/>
          </w:r>
          <w:r>
            <w:t>26</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_Toc15797 </w:instrText>
          </w:r>
          <w:r>
            <w:rPr>
              <w:rFonts w:hint="eastAsia" w:ascii="宋体" w:hAnsi="宋体" w:eastAsia="宋体" w:cs="宋体"/>
              <w:szCs w:val="24"/>
            </w:rPr>
            <w:fldChar w:fldCharType="separate"/>
          </w:r>
          <w:r>
            <w:rPr>
              <w:rFonts w:hint="eastAsia" w:ascii="宋体" w:hAnsi="宋体" w:eastAsia="宋体" w:cs="宋体"/>
              <w:szCs w:val="24"/>
            </w:rPr>
            <w:t>5.3.1 注册/登录</w:t>
          </w:r>
          <w:r>
            <w:tab/>
          </w:r>
          <w:r>
            <w:fldChar w:fldCharType="begin"/>
          </w:r>
          <w:r>
            <w:instrText xml:space="preserve"> PAGEREF _Toc15797 \h </w:instrText>
          </w:r>
          <w:r>
            <w:fldChar w:fldCharType="separate"/>
          </w:r>
          <w:r>
            <w:t>26</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_Toc8629 </w:instrText>
          </w:r>
          <w:r>
            <w:rPr>
              <w:rFonts w:hint="eastAsia" w:ascii="宋体" w:hAnsi="宋体" w:eastAsia="宋体" w:cs="宋体"/>
              <w:szCs w:val="24"/>
            </w:rPr>
            <w:fldChar w:fldCharType="separate"/>
          </w:r>
          <w:r>
            <w:rPr>
              <w:rFonts w:hint="eastAsia" w:ascii="宋体" w:hAnsi="宋体" w:eastAsia="宋体" w:cs="宋体"/>
              <w:szCs w:val="24"/>
            </w:rPr>
            <w:t>5.3.2 首页</w:t>
          </w:r>
          <w:r>
            <w:tab/>
          </w:r>
          <w:r>
            <w:fldChar w:fldCharType="begin"/>
          </w:r>
          <w:r>
            <w:instrText xml:space="preserve"> PAGEREF _Toc8629 \h </w:instrText>
          </w:r>
          <w:r>
            <w:fldChar w:fldCharType="separate"/>
          </w:r>
          <w:r>
            <w:t>26</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_Toc13609 </w:instrText>
          </w:r>
          <w:r>
            <w:rPr>
              <w:rFonts w:hint="eastAsia" w:ascii="宋体" w:hAnsi="宋体" w:eastAsia="宋体" w:cs="宋体"/>
              <w:szCs w:val="24"/>
            </w:rPr>
            <w:fldChar w:fldCharType="separate"/>
          </w:r>
          <w:r>
            <w:rPr>
              <w:rFonts w:hint="eastAsia" w:ascii="宋体" w:hAnsi="宋体" w:eastAsia="宋体" w:cs="宋体"/>
              <w:szCs w:val="24"/>
            </w:rPr>
            <w:t>5.3.3 个人中心</w:t>
          </w:r>
          <w:r>
            <w:tab/>
          </w:r>
          <w:r>
            <w:fldChar w:fldCharType="begin"/>
          </w:r>
          <w:r>
            <w:instrText xml:space="preserve"> PAGEREF _Toc13609 \h </w:instrText>
          </w:r>
          <w:r>
            <w:fldChar w:fldCharType="separate"/>
          </w:r>
          <w:r>
            <w:t>26</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_Toc30622 </w:instrText>
          </w:r>
          <w:r>
            <w:rPr>
              <w:rFonts w:hint="eastAsia" w:ascii="宋体" w:hAnsi="宋体" w:eastAsia="宋体" w:cs="宋体"/>
              <w:szCs w:val="24"/>
            </w:rPr>
            <w:fldChar w:fldCharType="separate"/>
          </w:r>
          <w:r>
            <w:rPr>
              <w:rFonts w:hint="eastAsia" w:ascii="宋体" w:hAnsi="宋体" w:eastAsia="宋体" w:cs="宋体"/>
              <w:szCs w:val="24"/>
            </w:rPr>
            <w:t>5.4 客户小程序</w:t>
          </w:r>
          <w:r>
            <w:tab/>
          </w:r>
          <w:r>
            <w:fldChar w:fldCharType="begin"/>
          </w:r>
          <w:r>
            <w:instrText xml:space="preserve"> PAGEREF _Toc30622 \h </w:instrText>
          </w:r>
          <w:r>
            <w:fldChar w:fldCharType="separate"/>
          </w:r>
          <w:r>
            <w:t>27</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_Toc18492 </w:instrText>
          </w:r>
          <w:r>
            <w:rPr>
              <w:rFonts w:hint="eastAsia" w:ascii="宋体" w:hAnsi="宋体" w:eastAsia="宋体" w:cs="宋体"/>
              <w:szCs w:val="24"/>
            </w:rPr>
            <w:fldChar w:fldCharType="separate"/>
          </w:r>
          <w:r>
            <w:rPr>
              <w:rFonts w:hint="eastAsia" w:ascii="宋体" w:hAnsi="宋体" w:eastAsia="宋体" w:cs="宋体"/>
              <w:szCs w:val="24"/>
            </w:rPr>
            <w:t>5.5 语音系统</w:t>
          </w:r>
          <w:r>
            <w:tab/>
          </w:r>
          <w:r>
            <w:fldChar w:fldCharType="begin"/>
          </w:r>
          <w:r>
            <w:instrText xml:space="preserve"> PAGEREF _Toc18492 \h </w:instrText>
          </w:r>
          <w:r>
            <w:fldChar w:fldCharType="separate"/>
          </w:r>
          <w:r>
            <w:t>27</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_Toc8986 </w:instrText>
          </w:r>
          <w:r>
            <w:rPr>
              <w:rFonts w:hint="eastAsia" w:ascii="宋体" w:hAnsi="宋体" w:eastAsia="宋体" w:cs="宋体"/>
              <w:szCs w:val="24"/>
            </w:rPr>
            <w:fldChar w:fldCharType="separate"/>
          </w:r>
          <w:r>
            <w:rPr>
              <w:rFonts w:hint="eastAsia" w:ascii="宋体" w:hAnsi="宋体" w:eastAsia="宋体" w:cs="宋体"/>
              <w:szCs w:val="24"/>
            </w:rPr>
            <w:t>5.6 LED系统</w:t>
          </w:r>
          <w:r>
            <w:tab/>
          </w:r>
          <w:r>
            <w:fldChar w:fldCharType="begin"/>
          </w:r>
          <w:r>
            <w:instrText xml:space="preserve"> PAGEREF _Toc8986 \h </w:instrText>
          </w:r>
          <w:r>
            <w:fldChar w:fldCharType="separate"/>
          </w:r>
          <w:r>
            <w:t>27</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_Toc11849 </w:instrText>
          </w:r>
          <w:r>
            <w:rPr>
              <w:rFonts w:hint="eastAsia" w:ascii="宋体" w:hAnsi="宋体" w:eastAsia="宋体" w:cs="宋体"/>
              <w:szCs w:val="24"/>
            </w:rPr>
            <w:fldChar w:fldCharType="separate"/>
          </w:r>
          <w:r>
            <w:rPr>
              <w:rFonts w:hint="eastAsia" w:ascii="宋体" w:hAnsi="宋体" w:eastAsia="宋体" w:cs="宋体"/>
              <w:szCs w:val="24"/>
            </w:rPr>
            <w:t>5.7红绿灯系统</w:t>
          </w:r>
          <w:r>
            <w:tab/>
          </w:r>
          <w:r>
            <w:fldChar w:fldCharType="begin"/>
          </w:r>
          <w:r>
            <w:instrText xml:space="preserve"> PAGEREF _Toc11849 \h </w:instrText>
          </w:r>
          <w:r>
            <w:fldChar w:fldCharType="separate"/>
          </w:r>
          <w:r>
            <w:t>27</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_Toc29586 </w:instrText>
          </w:r>
          <w:r>
            <w:rPr>
              <w:rFonts w:hint="eastAsia" w:ascii="宋体" w:hAnsi="宋体" w:eastAsia="宋体" w:cs="宋体"/>
              <w:szCs w:val="24"/>
            </w:rPr>
            <w:fldChar w:fldCharType="separate"/>
          </w:r>
          <w:r>
            <w:rPr>
              <w:rFonts w:hint="eastAsia" w:ascii="宋体" w:hAnsi="宋体" w:eastAsia="宋体" w:cs="宋体"/>
              <w:szCs w:val="24"/>
            </w:rPr>
            <w:t>5.8 打印一体机系统</w:t>
          </w:r>
          <w:r>
            <w:tab/>
          </w:r>
          <w:r>
            <w:fldChar w:fldCharType="begin"/>
          </w:r>
          <w:r>
            <w:instrText xml:space="preserve"> PAGEREF _Toc29586 \h </w:instrText>
          </w:r>
          <w:r>
            <w:fldChar w:fldCharType="separate"/>
          </w:r>
          <w:r>
            <w:t>28</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_Toc168 </w:instrText>
          </w:r>
          <w:r>
            <w:rPr>
              <w:rFonts w:hint="eastAsia" w:ascii="宋体" w:hAnsi="宋体" w:eastAsia="宋体" w:cs="宋体"/>
              <w:szCs w:val="24"/>
            </w:rPr>
            <w:fldChar w:fldCharType="separate"/>
          </w:r>
          <w:r>
            <w:rPr>
              <w:rFonts w:hint="eastAsia" w:ascii="宋体" w:hAnsi="宋体" w:eastAsia="宋体" w:cs="宋体"/>
              <w:szCs w:val="24"/>
            </w:rPr>
            <w:t>5.9二维码系统</w:t>
          </w:r>
          <w:r>
            <w:tab/>
          </w:r>
          <w:r>
            <w:fldChar w:fldCharType="begin"/>
          </w:r>
          <w:r>
            <w:instrText xml:space="preserve"> PAGEREF _Toc168 \h </w:instrText>
          </w:r>
          <w:r>
            <w:fldChar w:fldCharType="separate"/>
          </w:r>
          <w:r>
            <w:t>28</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_Toc20039 </w:instrText>
          </w:r>
          <w:r>
            <w:rPr>
              <w:rFonts w:hint="eastAsia" w:ascii="宋体" w:hAnsi="宋体" w:eastAsia="宋体" w:cs="宋体"/>
              <w:szCs w:val="24"/>
            </w:rPr>
            <w:fldChar w:fldCharType="separate"/>
          </w:r>
          <w:r>
            <w:rPr>
              <w:rFonts w:hint="eastAsia" w:ascii="宋体" w:hAnsi="宋体" w:eastAsia="宋体" w:cs="宋体"/>
              <w:szCs w:val="24"/>
              <w:lang w:val="en-US" w:eastAsia="zh-CN"/>
            </w:rPr>
            <w:t xml:space="preserve">6 </w:t>
          </w:r>
          <w:r>
            <w:rPr>
              <w:rFonts w:hint="eastAsia" w:ascii="宋体" w:hAnsi="宋体" w:eastAsia="宋体" w:cs="宋体"/>
              <w:szCs w:val="24"/>
            </w:rPr>
            <w:t>产品优势</w:t>
          </w:r>
          <w:r>
            <w:tab/>
          </w:r>
          <w:r>
            <w:fldChar w:fldCharType="begin"/>
          </w:r>
          <w:r>
            <w:instrText xml:space="preserve"> PAGEREF _Toc20039 \h </w:instrText>
          </w:r>
          <w:r>
            <w:fldChar w:fldCharType="separate"/>
          </w:r>
          <w:r>
            <w:t>28</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_Toc9139 </w:instrText>
          </w:r>
          <w:r>
            <w:rPr>
              <w:rFonts w:hint="eastAsia" w:ascii="宋体" w:hAnsi="宋体" w:eastAsia="宋体" w:cs="宋体"/>
              <w:szCs w:val="24"/>
            </w:rPr>
            <w:fldChar w:fldCharType="separate"/>
          </w:r>
          <w:r>
            <w:rPr>
              <w:rFonts w:hint="eastAsia" w:ascii="宋体" w:hAnsi="宋体" w:cs="宋体"/>
              <w:kern w:val="2"/>
              <w:szCs w:val="24"/>
              <w:lang w:val="en-US" w:eastAsia="zh-CN"/>
            </w:rPr>
            <w:t xml:space="preserve">7 </w:t>
          </w:r>
          <w:r>
            <w:rPr>
              <w:rFonts w:hint="eastAsia" w:ascii="宋体" w:hAnsi="宋体" w:eastAsia="宋体" w:cs="宋体"/>
              <w:kern w:val="2"/>
              <w:szCs w:val="24"/>
              <w:lang w:val="en-US" w:eastAsia="zh-CN"/>
            </w:rPr>
            <w:t>项目</w:t>
          </w:r>
          <w:r>
            <w:rPr>
              <w:rFonts w:hint="eastAsia" w:ascii="宋体" w:hAnsi="宋体" w:eastAsia="宋体" w:cs="宋体"/>
              <w:szCs w:val="24"/>
            </w:rPr>
            <w:t>人员配置</w:t>
          </w:r>
          <w:r>
            <w:tab/>
          </w:r>
          <w:r>
            <w:fldChar w:fldCharType="begin"/>
          </w:r>
          <w:r>
            <w:instrText xml:space="preserve"> PAGEREF _Toc9139 \h </w:instrText>
          </w:r>
          <w:r>
            <w:fldChar w:fldCharType="separate"/>
          </w:r>
          <w:r>
            <w:t>29</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_Toc20934 </w:instrText>
          </w:r>
          <w:r>
            <w:rPr>
              <w:rFonts w:hint="eastAsia" w:ascii="宋体" w:hAnsi="宋体" w:eastAsia="宋体" w:cs="宋体"/>
              <w:szCs w:val="24"/>
            </w:rPr>
            <w:fldChar w:fldCharType="separate"/>
          </w:r>
          <w:r>
            <w:rPr>
              <w:rFonts w:hint="eastAsia" w:ascii="宋体" w:hAnsi="宋体" w:eastAsia="宋体" w:cs="宋体"/>
              <w:szCs w:val="24"/>
              <w:lang w:val="en-US" w:eastAsia="zh-CN"/>
            </w:rPr>
            <w:t>8</w:t>
          </w:r>
          <w:r>
            <w:rPr>
              <w:rFonts w:hint="eastAsia" w:ascii="宋体" w:hAnsi="宋体" w:cs="宋体"/>
              <w:kern w:val="2"/>
              <w:szCs w:val="24"/>
              <w:lang w:val="en-US" w:eastAsia="zh-CN"/>
            </w:rPr>
            <w:t xml:space="preserve"> </w:t>
          </w:r>
          <w:r>
            <w:rPr>
              <w:rFonts w:hint="eastAsia" w:ascii="宋体" w:hAnsi="宋体" w:eastAsia="宋体" w:cs="宋体"/>
              <w:szCs w:val="24"/>
            </w:rPr>
            <w:t>部分行业案例</w:t>
          </w:r>
          <w:r>
            <w:rPr>
              <w:rFonts w:hint="eastAsia" w:ascii="宋体" w:hAnsi="宋体" w:eastAsia="宋体" w:cs="宋体"/>
              <w:szCs w:val="24"/>
              <w:lang w:val="en-US" w:eastAsia="zh-CN"/>
            </w:rPr>
            <w:t>现场</w:t>
          </w:r>
          <w:r>
            <w:tab/>
          </w:r>
          <w:r>
            <w:fldChar w:fldCharType="begin"/>
          </w:r>
          <w:r>
            <w:instrText xml:space="preserve"> PAGEREF _Toc20934 \h </w:instrText>
          </w:r>
          <w:r>
            <w:fldChar w:fldCharType="separate"/>
          </w:r>
          <w:r>
            <w:t>30</w:t>
          </w:r>
          <w:r>
            <w:fldChar w:fldCharType="end"/>
          </w:r>
          <w:r>
            <w:rPr>
              <w:rFonts w:hint="eastAsia" w:ascii="宋体" w:hAnsi="宋体" w:eastAsia="宋体" w:cs="宋体"/>
              <w:szCs w:val="24"/>
            </w:rPr>
            <w:fldChar w:fldCharType="end"/>
          </w:r>
        </w:p>
        <w:p>
          <w:pPr>
            <w:rPr>
              <w:rFonts w:hint="eastAsia" w:ascii="宋体" w:hAnsi="宋体" w:eastAsia="宋体" w:cs="宋体"/>
              <w:kern w:val="2"/>
              <w:sz w:val="24"/>
              <w:szCs w:val="24"/>
              <w:lang w:val="en-US" w:eastAsia="zh-CN" w:bidi="ar-SA"/>
            </w:rPr>
          </w:pPr>
          <w:r>
            <w:rPr>
              <w:rFonts w:hint="eastAsia" w:ascii="宋体" w:hAnsi="宋体" w:eastAsia="宋体" w:cs="宋体"/>
              <w:szCs w:val="24"/>
            </w:rPr>
            <w:fldChar w:fldCharType="end"/>
          </w:r>
        </w:p>
      </w:sdtContent>
    </w:sdt>
    <w:p>
      <w:pPr>
        <w:rPr>
          <w:rFonts w:hint="default" w:ascii="宋体" w:hAnsi="宋体" w:eastAsia="宋体" w:cs="宋体"/>
          <w:sz w:val="24"/>
          <w:szCs w:val="24"/>
          <w:lang w:val="en-US"/>
        </w:rPr>
        <w:sectPr>
          <w:headerReference r:id="rId3" w:type="first"/>
          <w:footerReference r:id="rId5" w:type="first"/>
          <w:footerReference r:id="rId4" w:type="default"/>
          <w:pgSz w:w="11906" w:h="16838"/>
          <w:pgMar w:top="1440" w:right="1800" w:bottom="1440" w:left="1800" w:header="851" w:footer="567" w:gutter="0"/>
          <w:cols w:space="425" w:num="1"/>
          <w:titlePg/>
          <w:docGrid w:type="lines" w:linePitch="312" w:charSpace="0"/>
        </w:sectPr>
      </w:pPr>
    </w:p>
    <w:p>
      <w:pPr>
        <w:pStyle w:val="3"/>
        <w:numPr>
          <w:ilvl w:val="0"/>
          <w:numId w:val="1"/>
        </w:numPr>
        <w:spacing w:before="0" w:after="0" w:line="360" w:lineRule="auto"/>
        <w:rPr>
          <w:rFonts w:hint="eastAsia" w:ascii="宋体" w:hAnsi="宋体" w:eastAsia="宋体" w:cs="宋体"/>
          <w:sz w:val="24"/>
          <w:szCs w:val="24"/>
        </w:rPr>
      </w:pPr>
      <w:bookmarkStart w:id="0" w:name="_Toc50021174"/>
      <w:bookmarkStart w:id="1" w:name="_Toc3045"/>
      <w:r>
        <w:rPr>
          <w:rFonts w:hint="eastAsia" w:ascii="宋体" w:hAnsi="宋体" w:eastAsia="宋体" w:cs="宋体"/>
          <w:sz w:val="24"/>
          <w:szCs w:val="24"/>
        </w:rPr>
        <w:t>致函</w:t>
      </w:r>
      <w:bookmarkEnd w:id="0"/>
      <w:bookmarkEnd w:id="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陕西陆运帮网络科技有限公司</w:t>
      </w:r>
      <w:r>
        <w:rPr>
          <w:rFonts w:hint="eastAsia" w:ascii="宋体" w:hAnsi="宋体" w:eastAsia="宋体" w:cs="宋体"/>
          <w:sz w:val="24"/>
          <w:szCs w:val="24"/>
        </w:rPr>
        <w:t>(以下简称“</w:t>
      </w:r>
      <w:r>
        <w:rPr>
          <w:rFonts w:hint="eastAsia" w:ascii="宋体" w:hAnsi="宋体" w:eastAsia="宋体" w:cs="宋体"/>
          <w:sz w:val="24"/>
          <w:szCs w:val="24"/>
          <w:lang w:val="en-US" w:eastAsia="zh-CN"/>
        </w:rPr>
        <w:t>陆运帮</w:t>
      </w:r>
      <w:r>
        <w:rPr>
          <w:rFonts w:hint="eastAsia" w:ascii="宋体" w:hAnsi="宋体" w:eastAsia="宋体" w:cs="宋体"/>
          <w:sz w:val="24"/>
          <w:szCs w:val="24"/>
        </w:rPr>
        <w:t>”)十分荣幸能参与</w:t>
      </w:r>
      <w:r>
        <w:rPr>
          <w:rFonts w:hint="eastAsia" w:ascii="宋体" w:hAnsi="宋体" w:eastAsia="宋体" w:cs="宋体"/>
          <w:sz w:val="24"/>
          <w:szCs w:val="24"/>
          <w:lang w:val="en-US" w:eastAsia="zh-CN"/>
        </w:rPr>
        <w:t>陕西中泰材料科技有限公司</w:t>
      </w:r>
      <w:r>
        <w:rPr>
          <w:rFonts w:hint="eastAsia" w:ascii="宋体" w:hAnsi="宋体" w:eastAsia="宋体" w:cs="宋体"/>
          <w:sz w:val="24"/>
          <w:szCs w:val="24"/>
        </w:rPr>
        <w:t>（以下不至误解情况下简称“</w:t>
      </w:r>
      <w:r>
        <w:rPr>
          <w:rFonts w:hint="eastAsia" w:ascii="宋体" w:hAnsi="宋体" w:eastAsia="宋体" w:cs="宋体"/>
          <w:sz w:val="24"/>
          <w:szCs w:val="24"/>
          <w:lang w:val="en-US" w:eastAsia="zh-CN"/>
        </w:rPr>
        <w:t>陕西中泰</w:t>
      </w:r>
      <w:r>
        <w:rPr>
          <w:rFonts w:hint="eastAsia" w:ascii="宋体" w:hAnsi="宋体" w:eastAsia="宋体" w:cs="宋体"/>
          <w:sz w:val="24"/>
          <w:szCs w:val="24"/>
        </w:rPr>
        <w:t>”）</w:t>
      </w:r>
      <w:r>
        <w:rPr>
          <w:rFonts w:hint="eastAsia" w:ascii="宋体" w:hAnsi="宋体" w:eastAsia="宋体" w:cs="宋体"/>
          <w:sz w:val="24"/>
          <w:szCs w:val="24"/>
          <w:lang w:val="en-US" w:eastAsia="zh-CN"/>
        </w:rPr>
        <w:t>无人值守称重系统</w:t>
      </w:r>
      <w:r>
        <w:rPr>
          <w:rFonts w:hint="eastAsia" w:ascii="宋体" w:hAnsi="宋体" w:eastAsia="宋体" w:cs="宋体"/>
          <w:sz w:val="24"/>
          <w:szCs w:val="24"/>
        </w:rPr>
        <w:t>项目实施方案建议。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陆运帮</w:t>
      </w:r>
      <w:r>
        <w:rPr>
          <w:rFonts w:hint="eastAsia" w:ascii="宋体" w:hAnsi="宋体" w:eastAsia="宋体" w:cs="宋体"/>
          <w:sz w:val="24"/>
          <w:szCs w:val="24"/>
        </w:rPr>
        <w:t>对</w:t>
      </w:r>
      <w:r>
        <w:rPr>
          <w:rFonts w:hint="eastAsia" w:ascii="宋体" w:hAnsi="宋体" w:eastAsia="宋体" w:cs="宋体"/>
          <w:sz w:val="24"/>
          <w:szCs w:val="24"/>
          <w:lang w:val="en-US" w:eastAsia="zh-CN"/>
        </w:rPr>
        <w:t>陕西中泰《无人值守称重系统》</w:t>
      </w:r>
      <w:r>
        <w:rPr>
          <w:rFonts w:hint="eastAsia" w:ascii="宋体" w:hAnsi="宋体" w:eastAsia="宋体" w:cs="宋体"/>
          <w:sz w:val="24"/>
          <w:szCs w:val="24"/>
        </w:rPr>
        <w:t>项目十分重视，将整合公司各项资源积极认真地参与项目设计，并承诺将按照项目的需求和进度要求高质量地完成相应的产品提供和技术服务。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陕西陆运帮网络科技有限公司</w:t>
      </w:r>
      <w:r>
        <w:rPr>
          <w:rFonts w:hint="eastAsia" w:ascii="宋体" w:hAnsi="宋体" w:eastAsia="宋体" w:cs="宋体"/>
          <w:sz w:val="24"/>
          <w:szCs w:val="24"/>
        </w:rPr>
        <w:t>，是一家依托互联网信息、物联网技术，为企业提供完整智能工厂解决方案的互联网软件开发及系统集成企业，使用智能硬件、软件技术、移动互联网为客户提供专业化的软、硬件产品及解决方案。曾为国内多家企业提供智能工厂无人值守产品及服务，在</w:t>
      </w:r>
      <w:r>
        <w:rPr>
          <w:rFonts w:hint="eastAsia" w:ascii="宋体" w:hAnsi="宋体" w:eastAsia="宋体" w:cs="宋体"/>
          <w:sz w:val="24"/>
          <w:szCs w:val="24"/>
          <w:lang w:val="en-US" w:eastAsia="zh-CN"/>
        </w:rPr>
        <w:t>物流、</w:t>
      </w:r>
      <w:r>
        <w:rPr>
          <w:rFonts w:hint="eastAsia" w:ascii="宋体" w:hAnsi="宋体" w:eastAsia="宋体" w:cs="宋体"/>
          <w:sz w:val="24"/>
          <w:szCs w:val="24"/>
        </w:rPr>
        <w:t>煤炭、石料</w:t>
      </w:r>
      <w:r>
        <w:rPr>
          <w:rFonts w:hint="eastAsia" w:ascii="宋体" w:hAnsi="宋体" w:eastAsia="宋体" w:cs="宋体"/>
          <w:sz w:val="24"/>
          <w:szCs w:val="24"/>
          <w:lang w:val="en-US" w:eastAsia="zh-CN"/>
        </w:rPr>
        <w:t>和</w:t>
      </w:r>
      <w:r>
        <w:rPr>
          <w:rFonts w:hint="eastAsia" w:ascii="宋体" w:hAnsi="宋体" w:eastAsia="宋体" w:cs="宋体"/>
          <w:sz w:val="24"/>
          <w:szCs w:val="24"/>
        </w:rPr>
        <w:t>化工等领域具有丰富的实践经验。</w:t>
      </w:r>
    </w:p>
    <w:p>
      <w:pPr>
        <w:spacing w:line="360" w:lineRule="auto"/>
        <w:ind w:firstLine="480" w:firstLineChars="200"/>
        <w:rPr>
          <w:rFonts w:hint="eastAsia" w:ascii="宋体" w:hAnsi="宋体" w:eastAsia="宋体" w:cs="宋体"/>
          <w:sz w:val="24"/>
          <w:szCs w:val="24"/>
        </w:rPr>
      </w:pPr>
    </w:p>
    <w:p>
      <w:pPr>
        <w:pStyle w:val="3"/>
        <w:numPr>
          <w:ilvl w:val="0"/>
          <w:numId w:val="1"/>
        </w:numPr>
        <w:spacing w:before="0" w:after="0" w:line="360" w:lineRule="auto"/>
        <w:rPr>
          <w:rFonts w:hint="eastAsia" w:ascii="宋体" w:hAnsi="宋体" w:eastAsia="宋体" w:cs="宋体"/>
          <w:sz w:val="24"/>
          <w:szCs w:val="24"/>
        </w:rPr>
      </w:pPr>
      <w:bookmarkStart w:id="2" w:name="_Toc50021175"/>
      <w:bookmarkStart w:id="3" w:name="_Toc30022"/>
      <w:r>
        <w:rPr>
          <w:rFonts w:hint="eastAsia" w:ascii="宋体" w:hAnsi="宋体" w:eastAsia="宋体" w:cs="宋体"/>
          <w:bCs w:val="0"/>
          <w:iCs/>
          <w:sz w:val="24"/>
          <w:szCs w:val="24"/>
        </w:rPr>
        <w:t>概述</w:t>
      </w:r>
      <w:bookmarkEnd w:id="2"/>
      <w:bookmarkEnd w:id="3"/>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现阶段对</w:t>
      </w:r>
      <w:r>
        <w:rPr>
          <w:rFonts w:hint="eastAsia" w:ascii="宋体" w:hAnsi="宋体" w:eastAsia="宋体" w:cs="宋体"/>
          <w:sz w:val="24"/>
          <w:szCs w:val="24"/>
          <w:lang w:val="en-US" w:eastAsia="zh-CN"/>
        </w:rPr>
        <w:t>采购、</w:t>
      </w:r>
      <w:r>
        <w:rPr>
          <w:rFonts w:hint="eastAsia" w:ascii="宋体" w:hAnsi="宋体" w:eastAsia="宋体" w:cs="宋体"/>
          <w:sz w:val="24"/>
          <w:szCs w:val="24"/>
        </w:rPr>
        <w:t>销售</w:t>
      </w:r>
      <w:r>
        <w:rPr>
          <w:rFonts w:hint="eastAsia" w:ascii="宋体" w:hAnsi="宋体" w:eastAsia="宋体" w:cs="宋体"/>
          <w:sz w:val="24"/>
          <w:szCs w:val="24"/>
          <w:lang w:val="en-US" w:eastAsia="zh-CN"/>
        </w:rPr>
        <w:t>和物流</w:t>
      </w:r>
      <w:r>
        <w:rPr>
          <w:rFonts w:hint="eastAsia" w:ascii="宋体" w:hAnsi="宋体" w:eastAsia="宋体" w:cs="宋体"/>
          <w:sz w:val="24"/>
          <w:szCs w:val="24"/>
        </w:rPr>
        <w:t>环节在合同管理、货主自助派车、</w:t>
      </w:r>
      <w:r>
        <w:rPr>
          <w:rFonts w:hint="eastAsia" w:ascii="宋体" w:hAnsi="宋体" w:eastAsia="宋体" w:cs="宋体"/>
          <w:sz w:val="24"/>
          <w:szCs w:val="24"/>
          <w:lang w:val="en-US" w:eastAsia="zh-CN"/>
        </w:rPr>
        <w:t>车辆调度</w:t>
      </w:r>
      <w:r>
        <w:rPr>
          <w:rFonts w:hint="eastAsia" w:ascii="宋体" w:hAnsi="宋体" w:eastAsia="宋体" w:cs="宋体"/>
          <w:sz w:val="24"/>
          <w:szCs w:val="24"/>
        </w:rPr>
        <w:t>、车辆门禁和入矿、自动称重计量、质检化验、仓库有序装货、自助打单仍然有很大的提升空间，现计量模式因磅房设备不一致、计量系统不统一、人员成本高、集成化程度低，计量效率低、厂内效率得不到了提升，各业务作业节点依然存在人工操作不严谨、客户体验度不高、无集中调度中枢、各岗位联动性差等问题，综上所述，提升企业管理、堵塞漏洞、减员增效、服务客户是企业提升效益精细管理的本质，现阶段的应用已不能满足企业的精细化管理思想，建设一套稳定可靠、功能完备、节能高效的智能工厂无人值守称重系统已经势在必行。</w:t>
      </w:r>
    </w:p>
    <w:p>
      <w:pPr>
        <w:pStyle w:val="2"/>
        <w:rPr>
          <w:rFonts w:hint="eastAsia" w:ascii="宋体" w:hAnsi="宋体" w:eastAsia="宋体" w:cs="宋体"/>
          <w:sz w:val="24"/>
          <w:szCs w:val="24"/>
        </w:rPr>
      </w:pPr>
    </w:p>
    <w:p>
      <w:pPr>
        <w:pStyle w:val="3"/>
        <w:numPr>
          <w:ilvl w:val="0"/>
          <w:numId w:val="1"/>
        </w:numPr>
        <w:spacing w:before="0" w:after="0" w:line="360" w:lineRule="auto"/>
        <w:rPr>
          <w:rFonts w:hint="eastAsia" w:ascii="宋体" w:hAnsi="宋体" w:eastAsia="宋体" w:cs="宋体"/>
          <w:bCs w:val="0"/>
          <w:sz w:val="24"/>
          <w:szCs w:val="24"/>
        </w:rPr>
      </w:pPr>
      <w:bookmarkStart w:id="4" w:name="_Toc14716"/>
      <w:bookmarkStart w:id="5" w:name="_Toc16608722"/>
      <w:bookmarkStart w:id="6" w:name="_Toc53821162"/>
      <w:bookmarkStart w:id="7" w:name="_Toc42250685"/>
      <w:r>
        <w:rPr>
          <w:rFonts w:hint="eastAsia" w:ascii="宋体" w:hAnsi="宋体" w:eastAsia="宋体" w:cs="宋体"/>
          <w:sz w:val="24"/>
          <w:szCs w:val="24"/>
        </w:rPr>
        <w:t>项目背景</w:t>
      </w:r>
      <w:bookmarkEnd w:id="4"/>
      <w:bookmarkEnd w:id="5"/>
      <w:bookmarkEnd w:id="6"/>
      <w:bookmarkEnd w:id="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随着</w:t>
      </w:r>
      <w:r>
        <w:rPr>
          <w:rFonts w:hint="eastAsia" w:ascii="宋体" w:hAnsi="宋体" w:eastAsia="宋体" w:cs="宋体"/>
          <w:sz w:val="24"/>
          <w:szCs w:val="24"/>
          <w:lang w:val="en-US" w:eastAsia="zh-CN"/>
        </w:rPr>
        <w:t>陕西中泰</w:t>
      </w:r>
      <w:r>
        <w:rPr>
          <w:rFonts w:hint="eastAsia" w:ascii="宋体" w:hAnsi="宋体" w:eastAsia="宋体" w:cs="宋体"/>
          <w:sz w:val="24"/>
          <w:szCs w:val="24"/>
        </w:rPr>
        <w:t>信息化建设项目的</w:t>
      </w:r>
      <w:r>
        <w:rPr>
          <w:rFonts w:hint="eastAsia" w:ascii="宋体" w:hAnsi="宋体" w:eastAsia="宋体" w:cs="宋体"/>
          <w:sz w:val="24"/>
          <w:szCs w:val="24"/>
          <w:lang w:val="en-US" w:eastAsia="zh-CN"/>
        </w:rPr>
        <w:t>现场调研</w:t>
      </w:r>
      <w:r>
        <w:rPr>
          <w:rFonts w:hint="eastAsia" w:ascii="宋体" w:hAnsi="宋体" w:eastAsia="宋体" w:cs="宋体"/>
          <w:sz w:val="24"/>
          <w:szCs w:val="24"/>
        </w:rPr>
        <w:t>，目前存在人工操作不严谨、客户体验度不高、无集中调度中枢、各岗位联动性差等问题,现将目前主要存的主要问题列举如下：</w:t>
      </w:r>
    </w:p>
    <w:p>
      <w:pPr>
        <w:pStyle w:val="34"/>
        <w:numPr>
          <w:ilvl w:val="0"/>
          <w:numId w:val="2"/>
        </w:numPr>
        <w:ind w:left="485" w:hanging="484" w:hangingChars="202"/>
        <w:rPr>
          <w:rFonts w:hint="eastAsia" w:ascii="宋体" w:hAnsi="宋体" w:eastAsia="宋体" w:cs="宋体"/>
          <w:sz w:val="24"/>
          <w:szCs w:val="24"/>
        </w:rPr>
      </w:pPr>
      <w:r>
        <w:rPr>
          <w:rFonts w:hint="eastAsia" w:ascii="宋体" w:hAnsi="宋体" w:eastAsia="宋体" w:cs="宋体"/>
          <w:sz w:val="24"/>
          <w:szCs w:val="24"/>
        </w:rPr>
        <w:t>发货现场监控力度不够，相关员工缺少客户服务意识，服务用语及态度有待改进；</w:t>
      </w:r>
    </w:p>
    <w:p>
      <w:pPr>
        <w:pStyle w:val="34"/>
        <w:numPr>
          <w:ilvl w:val="0"/>
          <w:numId w:val="2"/>
        </w:numPr>
        <w:ind w:left="485" w:hanging="484" w:hangingChars="202"/>
        <w:rPr>
          <w:rFonts w:hint="eastAsia" w:ascii="宋体" w:hAnsi="宋体" w:eastAsia="宋体" w:cs="宋体"/>
          <w:sz w:val="24"/>
          <w:szCs w:val="24"/>
        </w:rPr>
      </w:pPr>
      <w:r>
        <w:rPr>
          <w:rFonts w:hint="eastAsia" w:ascii="宋体" w:hAnsi="宋体" w:eastAsia="宋体" w:cs="宋体"/>
          <w:sz w:val="24"/>
          <w:szCs w:val="24"/>
        </w:rPr>
        <w:t>过磅系统采用后，效率得到了很大的提升，但在开票、门岗、过磅、发货均有较大的提升空间；</w:t>
      </w:r>
    </w:p>
    <w:p>
      <w:pPr>
        <w:pStyle w:val="34"/>
        <w:numPr>
          <w:ilvl w:val="0"/>
          <w:numId w:val="2"/>
        </w:numPr>
        <w:ind w:left="485" w:hanging="484" w:hangingChars="202"/>
        <w:rPr>
          <w:rFonts w:hint="eastAsia" w:ascii="宋体" w:hAnsi="宋体" w:eastAsia="宋体" w:cs="宋体"/>
          <w:sz w:val="24"/>
          <w:szCs w:val="24"/>
        </w:rPr>
      </w:pPr>
      <w:r>
        <w:rPr>
          <w:rFonts w:hint="eastAsia" w:ascii="宋体" w:hAnsi="宋体" w:eastAsia="宋体" w:cs="宋体"/>
          <w:sz w:val="24"/>
          <w:szCs w:val="24"/>
        </w:rPr>
        <w:t>磅房、门岗存在业务效率低【上下车、人工操作、打印慢】；</w:t>
      </w:r>
    </w:p>
    <w:p>
      <w:pPr>
        <w:pStyle w:val="34"/>
        <w:numPr>
          <w:ilvl w:val="0"/>
          <w:numId w:val="2"/>
        </w:numPr>
        <w:ind w:left="485" w:hanging="484" w:hangingChars="202"/>
        <w:rPr>
          <w:rFonts w:hint="eastAsia" w:ascii="宋体" w:hAnsi="宋体" w:eastAsia="宋体" w:cs="宋体"/>
          <w:sz w:val="24"/>
          <w:szCs w:val="24"/>
        </w:rPr>
      </w:pPr>
      <w:r>
        <w:rPr>
          <w:rFonts w:hint="eastAsia" w:ascii="宋体" w:hAnsi="宋体" w:eastAsia="宋体" w:cs="宋体"/>
          <w:sz w:val="24"/>
          <w:szCs w:val="24"/>
        </w:rPr>
        <w:t>料场收货无相关信息化确认稽核手段；</w:t>
      </w:r>
    </w:p>
    <w:p>
      <w:pPr>
        <w:pStyle w:val="34"/>
        <w:numPr>
          <w:ilvl w:val="0"/>
          <w:numId w:val="2"/>
        </w:numPr>
        <w:ind w:left="485" w:hanging="484" w:hangingChars="202"/>
        <w:rPr>
          <w:rFonts w:hint="eastAsia" w:ascii="宋体" w:hAnsi="宋体" w:eastAsia="宋体" w:cs="宋体"/>
          <w:sz w:val="24"/>
          <w:szCs w:val="24"/>
        </w:rPr>
      </w:pPr>
      <w:r>
        <w:rPr>
          <w:rFonts w:hint="eastAsia" w:ascii="宋体" w:hAnsi="宋体" w:eastAsia="宋体" w:cs="宋体"/>
          <w:sz w:val="24"/>
          <w:szCs w:val="24"/>
        </w:rPr>
        <w:t>目前厂内存在数据孤岛，业务办理效率低、错误率高，不利于厂内对整体业务过程分析进行有效管控。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综上所述，提升企业管理、堵塞漏洞、减员增效、服务客户是企业提升效益、精细管理的本质，现阶段的应用已不能满足企业的精细化管理思想，建设一套稳定可靠、功能完备、节能高效的智能化工厂系统已经势在必行。</w:t>
      </w:r>
    </w:p>
    <w:p>
      <w:pPr>
        <w:spacing w:line="360" w:lineRule="auto"/>
        <w:ind w:firstLine="480" w:firstLineChars="200"/>
        <w:rPr>
          <w:rFonts w:hint="eastAsia" w:ascii="宋体" w:hAnsi="宋体" w:eastAsia="宋体" w:cs="宋体"/>
          <w:sz w:val="24"/>
          <w:szCs w:val="24"/>
        </w:rPr>
      </w:pPr>
      <w:bookmarkStart w:id="8" w:name="_Toc429075656"/>
      <w:r>
        <w:rPr>
          <w:rFonts w:hint="eastAsia" w:ascii="宋体" w:hAnsi="宋体" w:eastAsia="宋体" w:cs="宋体"/>
          <w:sz w:val="24"/>
          <w:szCs w:val="24"/>
        </w:rPr>
        <w:t>通过实施无人值守管理系统对企业原材料采购、产品销售业务，本着控制成本、减少人员、提高效益的原则,实现公司供销业务的集成管理，理顺流程，防范风险，更好地体现“公平、公正、快捷”，加快业务运作效率，提高供应商和客户的满意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实现企业日益发展的物流管理要求，提高物流速度，降低物流和人员成本。系统利用先进计算机技术和严密的流程设计可以帮助企业从根本上解决开票、门禁、计量、收发货过程中出现的问题，避免因此造成的经济损失, 而且可以直接与ERP系统完全集成。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主要达到以下效果：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防范风险：通过多种防作弊手段，防止司机及人员串通作弊等风险；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规范流程：实现闭环控制，规范业务流程，管控风险；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提高效率：相关节点的控制自动判断、处理，提高业务效率；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减员增效：系统称重无人参与，地磅房自动称重。</w:t>
      </w:r>
    </w:p>
    <w:p>
      <w:pPr>
        <w:pStyle w:val="4"/>
        <w:numPr>
          <w:ilvl w:val="1"/>
          <w:numId w:val="1"/>
        </w:numPr>
        <w:spacing w:before="0" w:line="360" w:lineRule="auto"/>
        <w:ind w:left="-321" w:firstLine="321"/>
        <w:rPr>
          <w:rFonts w:hint="eastAsia" w:ascii="宋体" w:hAnsi="宋体" w:eastAsia="宋体" w:cs="宋体"/>
          <w:b/>
          <w:bCs w:val="0"/>
          <w:sz w:val="24"/>
          <w:szCs w:val="24"/>
        </w:rPr>
      </w:pPr>
      <w:bookmarkStart w:id="9" w:name="_Toc42250686"/>
      <w:bookmarkStart w:id="10" w:name="_Toc16764"/>
      <w:bookmarkStart w:id="11" w:name="_Toc53821163"/>
      <w:bookmarkStart w:id="12" w:name="_Toc16608723"/>
      <w:r>
        <w:rPr>
          <w:rFonts w:hint="eastAsia" w:ascii="宋体" w:hAnsi="宋体" w:eastAsia="宋体" w:cs="宋体"/>
          <w:b/>
          <w:bCs w:val="0"/>
          <w:sz w:val="24"/>
          <w:szCs w:val="24"/>
        </w:rPr>
        <w:t>项目目标</w:t>
      </w:r>
      <w:bookmarkEnd w:id="8"/>
      <w:bookmarkEnd w:id="9"/>
      <w:bookmarkEnd w:id="10"/>
      <w:bookmarkEnd w:id="11"/>
      <w:bookmarkEnd w:id="12"/>
    </w:p>
    <w:p>
      <w:pPr>
        <w:spacing w:line="360" w:lineRule="auto"/>
        <w:ind w:firstLine="482" w:firstLineChars="200"/>
        <w:rPr>
          <w:rFonts w:hint="eastAsia" w:ascii="宋体" w:hAnsi="宋体" w:eastAsia="宋体" w:cs="宋体"/>
          <w:b/>
          <w:bCs/>
          <w:color w:val="FF0000"/>
          <w:kern w:val="0"/>
          <w:sz w:val="24"/>
          <w:szCs w:val="24"/>
        </w:rPr>
      </w:pPr>
      <w:r>
        <w:rPr>
          <w:rFonts w:hint="eastAsia" w:ascii="宋体" w:hAnsi="宋体" w:eastAsia="宋体" w:cs="宋体"/>
          <w:b/>
          <w:bCs/>
          <w:color w:val="FF0000"/>
          <w:kern w:val="0"/>
          <w:sz w:val="24"/>
          <w:szCs w:val="24"/>
        </w:rPr>
        <w:t xml:space="preserve">通过实施厂区内无人值守系统建设实现流程的简化及相关信息化、自动化系统的集成，综合提升发货效率及客户满意度。重点体现在以下几点： </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进厂车辆排序、门禁系统、地磅系统、现场装车系统的一体化，集成相关系统、提高发货效率。</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简化发货流程（减少司机上下车次数）、优化物流服务，提升司机（客户）的体验及满意度。</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通过系统进行装车调度，减少人为干预，保障厂内物流通畅，提升发货效率。</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强化现场控制，保障物流通畅，减小安全隐患。</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通过打通上下游系统，提高供销存业务管控能力，减少人为干预。</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建立一套完善的销售与发货管理流程，将称重管理、现场收发货与</w:t>
      </w:r>
      <w:r>
        <w:rPr>
          <w:rFonts w:hint="eastAsia" w:ascii="宋体" w:hAnsi="宋体" w:eastAsia="宋体" w:cs="宋体"/>
          <w:sz w:val="24"/>
          <w:szCs w:val="24"/>
          <w:lang w:val="en-US" w:eastAsia="zh-CN"/>
        </w:rPr>
        <w:t>后台</w:t>
      </w:r>
      <w:r>
        <w:rPr>
          <w:rFonts w:hint="eastAsia" w:ascii="宋体" w:hAnsi="宋体" w:eastAsia="宋体" w:cs="宋体"/>
          <w:sz w:val="24"/>
          <w:szCs w:val="24"/>
        </w:rPr>
        <w:t>系统无缝对接，确保“先款后货”制度的严格落实；</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优化销售发货流程，集成销发系统，提高发货效率；优化物流服务，提升客户体验及满意度；加强现场控制，保障物流通畅，杜绝安全隐患。</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提供手机APP用PC-WEB的派车系统，提高系统效率。</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提供PC-WEB厂级计量管理系统，完成特殊业务的审批，异常提醒，异常管理；</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对进入厂区提货的车辆实行数量与品种控制，完善发货和排队等候制度；</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防止车辆插队、防止偷盗货物、防止地区窜货、提高发货效率、提高工作效率、便于管理、数据统计准确。</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汽车衡计量升级改造为无人值守计量，通过视频、红外、语音等设备辅助司机计量，确保计量精准性，提高计量效率；</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实现原料采购、产品销售信息的计算机网络管理与全流程监督。</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提供基于WEB方式的客商数据平台，方便供应商与客户电子下单，电子对账。</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提供基于移动互联网应用的手机APP软件系统。</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风险控制： 计量作弊管控，人工繁杂劳作出错风险；</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利用现代物流科学技术，加强物流管理、理顺厂内及厂外的物流衔接秩序，实现物流运输管理的先进合理性，促进整体物流管理的合理发展；</w:t>
      </w:r>
    </w:p>
    <w:p>
      <w:pPr>
        <w:numPr>
          <w:ilvl w:val="0"/>
          <w:numId w:val="3"/>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通过对于物流运输管理流程的优化改造，提高客户服务能力和水平、提高物流作业效率以及物流设施的利用率，从而节省开支、减少消耗和浪费，保持成本优势，提高经济收益。</w:t>
      </w:r>
      <w:bookmarkStart w:id="96" w:name="_GoBack"/>
      <w:bookmarkEnd w:id="96"/>
    </w:p>
    <w:p>
      <w:pPr>
        <w:pStyle w:val="4"/>
        <w:numPr>
          <w:ilvl w:val="1"/>
          <w:numId w:val="1"/>
        </w:numPr>
        <w:spacing w:before="0" w:after="0" w:line="360" w:lineRule="auto"/>
        <w:ind w:left="-321" w:firstLine="321"/>
        <w:rPr>
          <w:rFonts w:hint="eastAsia" w:ascii="宋体" w:hAnsi="宋体" w:eastAsia="宋体" w:cs="宋体"/>
          <w:b w:val="0"/>
          <w:sz w:val="24"/>
          <w:szCs w:val="24"/>
        </w:rPr>
      </w:pPr>
      <w:bookmarkStart w:id="13" w:name="_Toc38964557"/>
      <w:bookmarkStart w:id="14" w:name="_Toc27268"/>
      <w:bookmarkStart w:id="15" w:name="_Toc53821164"/>
      <w:r>
        <w:rPr>
          <w:rFonts w:hint="eastAsia" w:ascii="宋体" w:hAnsi="宋体" w:eastAsia="宋体" w:cs="宋体"/>
          <w:b w:val="0"/>
          <w:sz w:val="24"/>
          <w:szCs w:val="24"/>
        </w:rPr>
        <w:t>预期项目</w:t>
      </w:r>
      <w:bookmarkEnd w:id="13"/>
      <w:r>
        <w:rPr>
          <w:rFonts w:hint="eastAsia" w:ascii="宋体" w:hAnsi="宋体" w:eastAsia="宋体" w:cs="宋体"/>
          <w:b w:val="0"/>
          <w:sz w:val="24"/>
          <w:szCs w:val="24"/>
        </w:rPr>
        <w:t>应用后效果</w:t>
      </w:r>
      <w:bookmarkEnd w:id="14"/>
      <w:bookmarkEnd w:id="15"/>
    </w:p>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16" w:name="_Toc27584046"/>
      <w:bookmarkStart w:id="17" w:name="_Toc27497459"/>
      <w:bookmarkStart w:id="18" w:name="_Toc38964561"/>
      <w:bookmarkStart w:id="19" w:name="_Toc27697787"/>
      <w:bookmarkStart w:id="20" w:name="_Toc12166"/>
      <w:bookmarkStart w:id="21" w:name="_Toc27684525"/>
      <w:bookmarkStart w:id="22" w:name="_Toc19649413"/>
      <w:bookmarkStart w:id="23" w:name="_Toc53821168"/>
      <w:bookmarkStart w:id="24" w:name="_Toc27584706"/>
      <w:r>
        <w:rPr>
          <w:rFonts w:hint="eastAsia" w:ascii="宋体" w:hAnsi="宋体" w:eastAsia="宋体" w:cs="宋体"/>
          <w:b w:val="0"/>
          <w:sz w:val="24"/>
          <w:szCs w:val="24"/>
        </w:rPr>
        <w:t>应用效果提升</w:t>
      </w:r>
      <w:bookmarkEnd w:id="16"/>
      <w:bookmarkEnd w:id="17"/>
      <w:bookmarkEnd w:id="18"/>
      <w:bookmarkEnd w:id="19"/>
      <w:bookmarkEnd w:id="20"/>
      <w:bookmarkEnd w:id="21"/>
      <w:bookmarkEnd w:id="22"/>
      <w:bookmarkEnd w:id="23"/>
      <w:bookmarkEnd w:id="24"/>
    </w:p>
    <w:tbl>
      <w:tblPr>
        <w:tblStyle w:val="23"/>
        <w:tblW w:w="8363" w:type="dxa"/>
        <w:tblInd w:w="137" w:type="dxa"/>
        <w:tblLayout w:type="fixed"/>
        <w:tblCellMar>
          <w:top w:w="0" w:type="dxa"/>
          <w:left w:w="108" w:type="dxa"/>
          <w:bottom w:w="0" w:type="dxa"/>
          <w:right w:w="108" w:type="dxa"/>
        </w:tblCellMar>
      </w:tblPr>
      <w:tblGrid>
        <w:gridCol w:w="709"/>
        <w:gridCol w:w="850"/>
        <w:gridCol w:w="2268"/>
        <w:gridCol w:w="2916"/>
        <w:gridCol w:w="1620"/>
      </w:tblGrid>
      <w:tr>
        <w:tblPrEx>
          <w:tblCellMar>
            <w:top w:w="0" w:type="dxa"/>
            <w:left w:w="108" w:type="dxa"/>
            <w:bottom w:w="0" w:type="dxa"/>
            <w:right w:w="108" w:type="dxa"/>
          </w:tblCellMar>
        </w:tblPrEx>
        <w:trPr>
          <w:trHeight w:val="511" w:hRule="atLeast"/>
        </w:trPr>
        <w:tc>
          <w:tcPr>
            <w:tcW w:w="836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bCs/>
                <w:kern w:val="0"/>
                <w:sz w:val="24"/>
                <w:szCs w:val="24"/>
              </w:rPr>
            </w:pPr>
            <w:r>
              <w:rPr>
                <w:rFonts w:hint="eastAsia" w:ascii="宋体" w:hAnsi="宋体" w:eastAsia="宋体" w:cs="宋体"/>
                <w:sz w:val="24"/>
                <w:szCs w:val="24"/>
                <w:lang w:val="en-US" w:eastAsia="zh-CN"/>
              </w:rPr>
              <w:t>陕西中泰材料科技有限公司</w:t>
            </w:r>
            <w:r>
              <w:rPr>
                <w:rFonts w:hint="eastAsia" w:ascii="宋体" w:hAnsi="宋体" w:eastAsia="宋体" w:cs="宋体"/>
                <w:bCs/>
                <w:kern w:val="0"/>
                <w:sz w:val="24"/>
                <w:szCs w:val="24"/>
              </w:rPr>
              <w:t>系统应用提升对比</w:t>
            </w:r>
          </w:p>
        </w:tc>
      </w:tr>
      <w:tr>
        <w:tblPrEx>
          <w:tblCellMar>
            <w:top w:w="0" w:type="dxa"/>
            <w:left w:w="108" w:type="dxa"/>
            <w:bottom w:w="0" w:type="dxa"/>
            <w:right w:w="108" w:type="dxa"/>
          </w:tblCellMar>
        </w:tblPrEx>
        <w:trPr>
          <w:trHeight w:val="375"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85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岗位</w:t>
            </w:r>
          </w:p>
        </w:tc>
        <w:tc>
          <w:tcPr>
            <w:tcW w:w="2268"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实施前岗位应用</w:t>
            </w:r>
          </w:p>
        </w:tc>
        <w:tc>
          <w:tcPr>
            <w:tcW w:w="2916"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实施后岗位应用</w:t>
            </w:r>
          </w:p>
        </w:tc>
        <w:tc>
          <w:tcPr>
            <w:tcW w:w="162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tblPrEx>
          <w:tblCellMar>
            <w:top w:w="0" w:type="dxa"/>
            <w:left w:w="108" w:type="dxa"/>
            <w:bottom w:w="0" w:type="dxa"/>
            <w:right w:w="108" w:type="dxa"/>
          </w:tblCellMar>
        </w:tblPrEx>
        <w:trPr>
          <w:trHeight w:val="758"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票房</w:t>
            </w:r>
          </w:p>
        </w:tc>
        <w:tc>
          <w:tcPr>
            <w:tcW w:w="2268"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人工开票</w:t>
            </w:r>
          </w:p>
        </w:tc>
        <w:tc>
          <w:tcPr>
            <w:tcW w:w="2916"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客户手机APP下单，自助派单</w:t>
            </w:r>
          </w:p>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提前派车线上审核</w:t>
            </w:r>
          </w:p>
        </w:tc>
        <w:tc>
          <w:tcPr>
            <w:tcW w:w="162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704"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850"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磅房</w:t>
            </w:r>
          </w:p>
        </w:tc>
        <w:tc>
          <w:tcPr>
            <w:tcW w:w="2268"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人工过磅</w:t>
            </w:r>
          </w:p>
        </w:tc>
        <w:tc>
          <w:tcPr>
            <w:tcW w:w="2916"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无人值守</w:t>
            </w:r>
          </w:p>
        </w:tc>
        <w:tc>
          <w:tcPr>
            <w:tcW w:w="1620"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系统校验过磅规则</w:t>
            </w:r>
          </w:p>
        </w:tc>
      </w:tr>
      <w:tr>
        <w:tblPrEx>
          <w:tblCellMar>
            <w:top w:w="0" w:type="dxa"/>
            <w:left w:w="108" w:type="dxa"/>
            <w:bottom w:w="0" w:type="dxa"/>
            <w:right w:w="108" w:type="dxa"/>
          </w:tblCellMar>
        </w:tblPrEx>
        <w:trPr>
          <w:trHeight w:val="546"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85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集中监控</w:t>
            </w:r>
          </w:p>
        </w:tc>
        <w:tc>
          <w:tcPr>
            <w:tcW w:w="2268"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916"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远程集中监控、语音互动引导、后端远程控制</w:t>
            </w:r>
          </w:p>
        </w:tc>
        <w:tc>
          <w:tcPr>
            <w:tcW w:w="1620" w:type="dxa"/>
            <w:tcBorders>
              <w:top w:val="nil"/>
              <w:left w:val="nil"/>
              <w:bottom w:val="single" w:color="auto" w:sz="4" w:space="0"/>
              <w:right w:val="single" w:color="auto" w:sz="4" w:space="0"/>
            </w:tcBorders>
            <w:shd w:val="clear" w:color="auto" w:fill="auto"/>
            <w:vAlign w:val="center"/>
          </w:tcPr>
          <w:p>
            <w:pPr>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bl>
    <w:p>
      <w:pPr>
        <w:spacing w:line="360" w:lineRule="auto"/>
        <w:ind w:firstLine="240"/>
        <w:rPr>
          <w:rFonts w:hint="eastAsia" w:ascii="宋体" w:hAnsi="宋体" w:eastAsia="宋体" w:cs="宋体"/>
          <w:sz w:val="24"/>
          <w:szCs w:val="24"/>
        </w:rPr>
      </w:pPr>
    </w:p>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25" w:name="_Toc27497460"/>
      <w:bookmarkStart w:id="26" w:name="_Toc19649414"/>
      <w:bookmarkStart w:id="27" w:name="_Toc27697788"/>
      <w:bookmarkStart w:id="28" w:name="_Toc38964562"/>
      <w:bookmarkStart w:id="29" w:name="_Toc27684526"/>
      <w:bookmarkStart w:id="30" w:name="_Toc22175"/>
      <w:bookmarkStart w:id="31" w:name="_Toc27584707"/>
      <w:bookmarkStart w:id="32" w:name="_Toc27584047"/>
      <w:bookmarkStart w:id="33" w:name="_Toc53821169"/>
      <w:r>
        <w:rPr>
          <w:rFonts w:hint="eastAsia" w:ascii="宋体" w:hAnsi="宋体" w:eastAsia="宋体" w:cs="宋体"/>
          <w:b w:val="0"/>
          <w:sz w:val="24"/>
          <w:szCs w:val="24"/>
        </w:rPr>
        <w:t>综合提升效果</w:t>
      </w:r>
      <w:bookmarkEnd w:id="25"/>
      <w:bookmarkEnd w:id="26"/>
      <w:bookmarkEnd w:id="27"/>
      <w:bookmarkEnd w:id="28"/>
      <w:bookmarkEnd w:id="29"/>
      <w:bookmarkEnd w:id="30"/>
      <w:bookmarkEnd w:id="31"/>
      <w:bookmarkEnd w:id="32"/>
      <w:bookmarkEnd w:id="33"/>
    </w:p>
    <w:tbl>
      <w:tblPr>
        <w:tblStyle w:val="23"/>
        <w:tblW w:w="8505" w:type="dxa"/>
        <w:tblInd w:w="-5" w:type="dxa"/>
        <w:tblLayout w:type="fixed"/>
        <w:tblCellMar>
          <w:top w:w="0" w:type="dxa"/>
          <w:left w:w="108" w:type="dxa"/>
          <w:bottom w:w="0" w:type="dxa"/>
          <w:right w:w="108" w:type="dxa"/>
        </w:tblCellMar>
      </w:tblPr>
      <w:tblGrid>
        <w:gridCol w:w="1134"/>
        <w:gridCol w:w="3402"/>
        <w:gridCol w:w="3969"/>
      </w:tblGrid>
      <w:tr>
        <w:tblPrEx>
          <w:tblCellMar>
            <w:top w:w="0" w:type="dxa"/>
            <w:left w:w="108" w:type="dxa"/>
            <w:bottom w:w="0" w:type="dxa"/>
            <w:right w:w="108" w:type="dxa"/>
          </w:tblCellMar>
        </w:tblPrEx>
        <w:trPr>
          <w:trHeight w:val="285" w:hRule="atLeast"/>
        </w:trPr>
        <w:tc>
          <w:tcPr>
            <w:tcW w:w="8505" w:type="dxa"/>
            <w:gridSpan w:val="3"/>
            <w:tcBorders>
              <w:top w:val="single" w:color="auto" w:sz="4" w:space="0"/>
              <w:left w:val="single" w:color="auto" w:sz="4" w:space="0"/>
              <w:bottom w:val="single" w:color="auto" w:sz="4" w:space="0"/>
              <w:right w:val="single" w:color="auto" w:sz="4" w:space="0"/>
            </w:tcBorders>
            <w:shd w:val="clear" w:color="auto" w:fill="auto"/>
            <w:vAlign w:val="bottom"/>
          </w:tcPr>
          <w:p>
            <w:pPr>
              <w:spacing w:line="360" w:lineRule="auto"/>
              <w:ind w:firstLine="241"/>
              <w:jc w:val="center"/>
              <w:rPr>
                <w:rFonts w:hint="eastAsia" w:ascii="宋体" w:hAnsi="宋体" w:eastAsia="宋体" w:cs="宋体"/>
                <w:kern w:val="0"/>
                <w:sz w:val="24"/>
                <w:szCs w:val="24"/>
              </w:rPr>
            </w:pPr>
            <w:r>
              <w:rPr>
                <w:rFonts w:hint="eastAsia" w:ascii="宋体" w:hAnsi="宋体" w:eastAsia="宋体" w:cs="宋体"/>
                <w:sz w:val="24"/>
                <w:szCs w:val="24"/>
                <w:lang w:val="en-US" w:eastAsia="zh-CN"/>
              </w:rPr>
              <w:t>陕西中泰材料科技有限公司</w:t>
            </w:r>
            <w:r>
              <w:rPr>
                <w:rFonts w:hint="eastAsia" w:ascii="宋体" w:hAnsi="宋体" w:eastAsia="宋体" w:cs="宋体"/>
                <w:bCs/>
                <w:kern w:val="0"/>
                <w:sz w:val="24"/>
                <w:szCs w:val="24"/>
              </w:rPr>
              <w:t>系统综合提升效果</w:t>
            </w:r>
          </w:p>
        </w:tc>
      </w:tr>
      <w:tr>
        <w:tblPrEx>
          <w:tblCellMar>
            <w:top w:w="0" w:type="dxa"/>
            <w:left w:w="108" w:type="dxa"/>
            <w:bottom w:w="0" w:type="dxa"/>
            <w:right w:w="108" w:type="dxa"/>
          </w:tblCellMar>
        </w:tblPrEx>
        <w:trPr>
          <w:trHeight w:val="390"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bottom"/>
          </w:tcPr>
          <w:p>
            <w:pPr>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关键点</w:t>
            </w:r>
          </w:p>
        </w:tc>
        <w:tc>
          <w:tcPr>
            <w:tcW w:w="3402" w:type="dxa"/>
            <w:tcBorders>
              <w:top w:val="single" w:color="auto" w:sz="4" w:space="0"/>
              <w:left w:val="nil"/>
              <w:bottom w:val="single" w:color="auto" w:sz="4" w:space="0"/>
              <w:right w:val="single" w:color="auto" w:sz="4" w:space="0"/>
            </w:tcBorders>
            <w:shd w:val="clear" w:color="auto" w:fill="auto"/>
            <w:vAlign w:val="bottom"/>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实施前现状</w:t>
            </w:r>
          </w:p>
        </w:tc>
        <w:tc>
          <w:tcPr>
            <w:tcW w:w="3969" w:type="dxa"/>
            <w:tcBorders>
              <w:top w:val="single" w:color="auto" w:sz="4" w:space="0"/>
              <w:left w:val="nil"/>
              <w:bottom w:val="single" w:color="auto" w:sz="4" w:space="0"/>
              <w:right w:val="single" w:color="auto" w:sz="4" w:space="0"/>
            </w:tcBorders>
            <w:shd w:val="clear" w:color="auto" w:fill="auto"/>
            <w:vAlign w:val="bottom"/>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实施后效果</w:t>
            </w:r>
          </w:p>
        </w:tc>
      </w:tr>
      <w:tr>
        <w:tblPrEx>
          <w:tblCellMar>
            <w:top w:w="0" w:type="dxa"/>
            <w:left w:w="108" w:type="dxa"/>
            <w:bottom w:w="0" w:type="dxa"/>
            <w:right w:w="108" w:type="dxa"/>
          </w:tblCellMar>
        </w:tblPrEx>
        <w:trPr>
          <w:trHeight w:val="637"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客户</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司机频繁上下车、体验度低</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除装货时其它节点无需下车，司机客户满意度高</w:t>
            </w:r>
          </w:p>
        </w:tc>
      </w:tr>
      <w:tr>
        <w:tblPrEx>
          <w:tblCellMar>
            <w:top w:w="0" w:type="dxa"/>
            <w:left w:w="108" w:type="dxa"/>
            <w:bottom w:w="0" w:type="dxa"/>
            <w:right w:w="108" w:type="dxa"/>
          </w:tblCellMar>
        </w:tblPrEx>
        <w:trPr>
          <w:trHeight w:val="520"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流程</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提货流程人工参与</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智能设备自助完成，杜绝舞弊行为，减少损失</w:t>
            </w:r>
          </w:p>
        </w:tc>
      </w:tr>
      <w:tr>
        <w:tblPrEx>
          <w:tblCellMar>
            <w:top w:w="0" w:type="dxa"/>
            <w:left w:w="108" w:type="dxa"/>
            <w:bottom w:w="0" w:type="dxa"/>
            <w:right w:w="108" w:type="dxa"/>
          </w:tblCellMar>
        </w:tblPrEx>
        <w:trPr>
          <w:trHeight w:val="641"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业务</w:t>
            </w:r>
          </w:p>
        </w:tc>
        <w:tc>
          <w:tcPr>
            <w:tcW w:w="3402"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异常业务处理效率低司机等待时间长，纸质单据不便于追溯</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系统线上审批内容可追溯，减少客户等待时间</w:t>
            </w:r>
          </w:p>
        </w:tc>
      </w:tr>
      <w:tr>
        <w:tblPrEx>
          <w:tblCellMar>
            <w:top w:w="0" w:type="dxa"/>
            <w:left w:w="108" w:type="dxa"/>
            <w:bottom w:w="0" w:type="dxa"/>
            <w:right w:w="108" w:type="dxa"/>
          </w:tblCellMar>
        </w:tblPrEx>
        <w:trPr>
          <w:trHeight w:val="604" w:hRule="atLeast"/>
        </w:trPr>
        <w:tc>
          <w:tcPr>
            <w:tcW w:w="1134" w:type="dxa"/>
            <w:tcBorders>
              <w:top w:val="nil"/>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协作</w:t>
            </w:r>
          </w:p>
        </w:tc>
        <w:tc>
          <w:tcPr>
            <w:tcW w:w="3402"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提货过程出现问题岗位间协作效率低</w:t>
            </w:r>
          </w:p>
        </w:tc>
        <w:tc>
          <w:tcPr>
            <w:tcW w:w="3969"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各节点服务跟踪，出现问题可及时处理</w:t>
            </w:r>
          </w:p>
        </w:tc>
      </w:tr>
      <w:tr>
        <w:tblPrEx>
          <w:tblCellMar>
            <w:top w:w="0" w:type="dxa"/>
            <w:left w:w="108" w:type="dxa"/>
            <w:bottom w:w="0" w:type="dxa"/>
            <w:right w:w="108" w:type="dxa"/>
          </w:tblCellMar>
        </w:tblPrEx>
        <w:trPr>
          <w:trHeight w:val="631" w:hRule="atLeast"/>
        </w:trPr>
        <w:tc>
          <w:tcPr>
            <w:tcW w:w="1134" w:type="dxa"/>
            <w:tcBorders>
              <w:top w:val="nil"/>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人员</w:t>
            </w:r>
          </w:p>
        </w:tc>
        <w:tc>
          <w:tcPr>
            <w:tcW w:w="3402"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岗位人员知识单一匮乏，综合能力低</w:t>
            </w:r>
          </w:p>
        </w:tc>
        <w:tc>
          <w:tcPr>
            <w:tcW w:w="3969"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工作人员各环节全过程把控，综合能力提升助力企业培养复合性人才</w:t>
            </w:r>
          </w:p>
        </w:tc>
      </w:tr>
      <w:tr>
        <w:tblPrEx>
          <w:tblCellMar>
            <w:top w:w="0" w:type="dxa"/>
            <w:left w:w="108" w:type="dxa"/>
            <w:bottom w:w="0" w:type="dxa"/>
            <w:right w:w="108" w:type="dxa"/>
          </w:tblCellMar>
        </w:tblPrEx>
        <w:trPr>
          <w:trHeight w:val="631"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品牌</w:t>
            </w:r>
          </w:p>
        </w:tc>
        <w:tc>
          <w:tcPr>
            <w:tcW w:w="3402"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常规人工提货流程无突出亮点，客户体验度低</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通过科技智能化设备自助服务，提升企业形象及核心竟争力</w:t>
            </w:r>
          </w:p>
        </w:tc>
      </w:tr>
    </w:tbl>
    <w:p>
      <w:pPr>
        <w:pStyle w:val="3"/>
        <w:spacing w:line="360" w:lineRule="auto"/>
        <w:rPr>
          <w:rFonts w:hint="eastAsia" w:ascii="宋体" w:hAnsi="宋体" w:eastAsia="宋体" w:cs="宋体"/>
          <w:b w:val="0"/>
          <w:sz w:val="24"/>
          <w:szCs w:val="24"/>
        </w:rPr>
        <w:sectPr>
          <w:pgSz w:w="11906" w:h="16838"/>
          <w:pgMar w:top="1440" w:right="1800" w:bottom="1440" w:left="1800" w:header="851" w:footer="567" w:gutter="0"/>
          <w:cols w:space="425" w:num="1"/>
          <w:titlePg/>
          <w:docGrid w:type="lines" w:linePitch="312" w:charSpace="0"/>
        </w:sectPr>
      </w:pPr>
      <w:bookmarkStart w:id="34" w:name="_Toc50021183"/>
    </w:p>
    <w:p>
      <w:pPr>
        <w:pStyle w:val="4"/>
        <w:numPr>
          <w:ilvl w:val="1"/>
          <w:numId w:val="1"/>
        </w:numPr>
        <w:spacing w:before="0" w:line="360" w:lineRule="auto"/>
        <w:ind w:left="-321" w:firstLine="321"/>
        <w:rPr>
          <w:rFonts w:hint="eastAsia" w:ascii="宋体" w:hAnsi="宋体" w:eastAsia="宋体" w:cs="宋体"/>
          <w:b w:val="0"/>
          <w:sz w:val="24"/>
          <w:szCs w:val="24"/>
        </w:rPr>
      </w:pPr>
      <w:bookmarkStart w:id="35" w:name="_Toc24122586"/>
      <w:bookmarkStart w:id="36" w:name="_Toc7079"/>
      <w:bookmarkStart w:id="37" w:name="_Toc50970543"/>
      <w:r>
        <w:rPr>
          <w:rFonts w:hint="eastAsia" w:ascii="宋体" w:hAnsi="宋体" w:eastAsia="宋体" w:cs="宋体"/>
          <w:b w:val="0"/>
          <w:sz w:val="24"/>
          <w:szCs w:val="24"/>
        </w:rPr>
        <w:t>现场改造及设备建设范围</w:t>
      </w:r>
      <w:bookmarkEnd w:id="35"/>
      <w:bookmarkEnd w:id="36"/>
      <w:bookmarkEnd w:id="37"/>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在涉及到企业基础运行、智能物流系统管理项目中，</w:t>
      </w:r>
      <w:r>
        <w:rPr>
          <w:rFonts w:hint="eastAsia" w:ascii="宋体" w:hAnsi="宋体" w:eastAsia="宋体" w:cs="宋体"/>
          <w:kern w:val="0"/>
          <w:sz w:val="24"/>
          <w:szCs w:val="24"/>
          <w:lang w:eastAsia="zh-CN"/>
        </w:rPr>
        <w:t>陆运帮</w:t>
      </w:r>
      <w:r>
        <w:rPr>
          <w:rFonts w:hint="eastAsia" w:ascii="宋体" w:hAnsi="宋体" w:eastAsia="宋体" w:cs="宋体"/>
          <w:kern w:val="0"/>
          <w:sz w:val="24"/>
          <w:szCs w:val="24"/>
        </w:rPr>
        <w:t>软件通常提供从顶层规划设计、系统规划与设计、系统落地及长期运维的完整解决方案，在本项目中针对性的实现现场需求。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此次现场改造及设备建设范围：</w:t>
      </w:r>
    </w:p>
    <w:p>
      <w:pPr>
        <w:pStyle w:val="34"/>
        <w:numPr>
          <w:ilvl w:val="0"/>
          <w:numId w:val="4"/>
        </w:numPr>
        <w:ind w:firstLineChars="0"/>
        <w:rPr>
          <w:rFonts w:hint="eastAsia" w:ascii="宋体" w:hAnsi="宋体" w:eastAsia="宋体" w:cs="宋体"/>
          <w:sz w:val="24"/>
          <w:szCs w:val="24"/>
        </w:rPr>
      </w:pPr>
      <w:r>
        <w:rPr>
          <w:rFonts w:hint="eastAsia" w:ascii="宋体" w:hAnsi="宋体" w:eastAsia="宋体" w:cs="宋体"/>
          <w:sz w:val="24"/>
          <w:szCs w:val="24"/>
        </w:rPr>
        <w:t>出入厂门禁配套设备改造建设；</w:t>
      </w:r>
    </w:p>
    <w:p>
      <w:pPr>
        <w:pStyle w:val="34"/>
        <w:numPr>
          <w:ilvl w:val="0"/>
          <w:numId w:val="4"/>
        </w:numPr>
        <w:ind w:firstLineChars="0"/>
        <w:rPr>
          <w:rFonts w:hint="eastAsia" w:ascii="宋体" w:hAnsi="宋体" w:eastAsia="宋体" w:cs="宋体"/>
          <w:sz w:val="24"/>
          <w:szCs w:val="24"/>
        </w:rPr>
      </w:pPr>
      <w:r>
        <w:rPr>
          <w:rFonts w:hint="eastAsia" w:ascii="宋体" w:hAnsi="宋体" w:eastAsia="宋体" w:cs="宋体"/>
          <w:sz w:val="24"/>
          <w:szCs w:val="24"/>
        </w:rPr>
        <w:t>汽车衡无人值守配套设备改造建设；</w:t>
      </w:r>
    </w:p>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38" w:name="_Toc1930"/>
      <w:bookmarkStart w:id="39" w:name="_Toc24122587"/>
      <w:bookmarkStart w:id="40" w:name="_Toc50970544"/>
      <w:bookmarkStart w:id="41" w:name="_Toc19649417"/>
      <w:r>
        <w:rPr>
          <w:rFonts w:hint="eastAsia" w:ascii="宋体" w:hAnsi="宋体" w:eastAsia="宋体" w:cs="宋体"/>
          <w:b w:val="0"/>
          <w:sz w:val="24"/>
          <w:szCs w:val="24"/>
        </w:rPr>
        <w:t>门岗建设范围</w:t>
      </w:r>
      <w:bookmarkEnd w:id="38"/>
      <w:bookmarkEnd w:id="39"/>
      <w:bookmarkEnd w:id="4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本项目将改造现有的门岗，自动控制门岗道闸，司机自助进出厂，通过优化业务流程，实现门岗车辆有序进出，杜绝堵车塞车；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门禁监管系统旨在对进出车辆进行管理，并对车道进行控制，通道设置一套道闸设备及身份证/IC卡刷卡/打印终端设备，对所有进出车辆进行管理与记录，对单据、无卡及非法卡车辆限制进入。</w:t>
      </w:r>
    </w:p>
    <w:p>
      <w:pPr>
        <w:pStyle w:val="2"/>
        <w:rPr>
          <w:rFonts w:hint="eastAsia" w:ascii="宋体" w:hAnsi="宋体" w:eastAsia="宋体" w:cs="宋体"/>
          <w:sz w:val="24"/>
          <w:szCs w:val="24"/>
        </w:rPr>
      </w:pPr>
    </w:p>
    <w:p>
      <w:p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门岗的具体情况：</w:t>
      </w:r>
    </w:p>
    <w:tbl>
      <w:tblPr>
        <w:tblStyle w:val="23"/>
        <w:tblW w:w="8053"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4"/>
        <w:gridCol w:w="1985"/>
        <w:gridCol w:w="1986"/>
        <w:gridCol w:w="20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门卫地点</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门卫个数</w:t>
            </w:r>
          </w:p>
        </w:tc>
        <w:tc>
          <w:tcPr>
            <w:tcW w:w="1986"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功能描述</w:t>
            </w:r>
          </w:p>
        </w:tc>
        <w:tc>
          <w:tcPr>
            <w:tcW w:w="2098"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物流大门</w:t>
            </w:r>
          </w:p>
        </w:tc>
        <w:tc>
          <w:tcPr>
            <w:tcW w:w="1985" w:type="dxa"/>
          </w:tcPr>
          <w:p>
            <w:pPr>
              <w:spacing w:line="360" w:lineRule="auto"/>
              <w:ind w:firstLine="24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1986"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双车道一进一出</w:t>
            </w:r>
          </w:p>
        </w:tc>
        <w:tc>
          <w:tcPr>
            <w:tcW w:w="2098" w:type="dxa"/>
          </w:tcPr>
          <w:p>
            <w:pPr>
              <w:spacing w:line="360" w:lineRule="auto"/>
              <w:ind w:firstLine="240"/>
              <w:jc w:val="center"/>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合计</w:t>
            </w:r>
          </w:p>
        </w:tc>
        <w:tc>
          <w:tcPr>
            <w:tcW w:w="1985" w:type="dxa"/>
          </w:tcPr>
          <w:p>
            <w:pPr>
              <w:spacing w:line="360" w:lineRule="auto"/>
              <w:ind w:firstLine="24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1986" w:type="dxa"/>
          </w:tcPr>
          <w:p>
            <w:pPr>
              <w:spacing w:line="360" w:lineRule="auto"/>
              <w:ind w:firstLine="240"/>
              <w:jc w:val="center"/>
              <w:rPr>
                <w:rFonts w:hint="eastAsia" w:ascii="宋体" w:hAnsi="宋体" w:eastAsia="宋体" w:cs="宋体"/>
                <w:sz w:val="24"/>
                <w:szCs w:val="24"/>
              </w:rPr>
            </w:pPr>
          </w:p>
        </w:tc>
        <w:tc>
          <w:tcPr>
            <w:tcW w:w="2098" w:type="dxa"/>
          </w:tcPr>
          <w:p>
            <w:pPr>
              <w:spacing w:line="360" w:lineRule="auto"/>
              <w:ind w:firstLine="240"/>
              <w:jc w:val="center"/>
              <w:rPr>
                <w:rFonts w:hint="eastAsia" w:ascii="宋体" w:hAnsi="宋体" w:eastAsia="宋体" w:cs="宋体"/>
                <w:sz w:val="24"/>
                <w:szCs w:val="24"/>
              </w:rPr>
            </w:pPr>
          </w:p>
        </w:tc>
      </w:tr>
    </w:tbl>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42" w:name="_Toc50970545"/>
      <w:bookmarkStart w:id="43" w:name="_Toc5409"/>
      <w:bookmarkStart w:id="44" w:name="_Toc24122588"/>
      <w:r>
        <w:rPr>
          <w:rFonts w:hint="eastAsia" w:ascii="宋体" w:hAnsi="宋体" w:eastAsia="宋体" w:cs="宋体"/>
          <w:b w:val="0"/>
          <w:sz w:val="24"/>
          <w:szCs w:val="24"/>
        </w:rPr>
        <w:t>汽车衡建设范围</w:t>
      </w:r>
      <w:bookmarkEnd w:id="41"/>
      <w:bookmarkEnd w:id="42"/>
      <w:bookmarkEnd w:id="43"/>
      <w:bookmarkEnd w:id="4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将改造现有汽车衡计量为无人值守自动计量方式，通过调整、优化计量业务流程，以采购物流、销售物流、倒运、固废转运及其它计量为主轴，充分利用现有汽车衡现有设备，并结合多种计量防作弊手段，利用自动化控制技术、网络技术、多媒体技术、计算机技术、数据库技术等技术，在计量中心构建完善的远程可操控计量管理系统，现场自动完成计量，远端集中监管模式，实现对全厂物资的无人计量以及异常远程辅助计量，提升公司的计量管控水平和信息化管理水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配置自助刷</w:t>
      </w:r>
      <w:r>
        <w:rPr>
          <w:rFonts w:hint="eastAsia" w:ascii="宋体" w:hAnsi="宋体" w:eastAsia="宋体" w:cs="宋体"/>
          <w:sz w:val="24"/>
          <w:szCs w:val="24"/>
          <w:lang w:val="en-US" w:eastAsia="zh-CN"/>
        </w:rPr>
        <w:t>二维码</w:t>
      </w:r>
      <w:r>
        <w:rPr>
          <w:rFonts w:hint="eastAsia" w:ascii="宋体" w:hAnsi="宋体" w:eastAsia="宋体" w:cs="宋体"/>
          <w:sz w:val="24"/>
          <w:szCs w:val="24"/>
        </w:rPr>
        <w:t>终端</w:t>
      </w:r>
      <w:r>
        <w:rPr>
          <w:rFonts w:hint="eastAsia" w:ascii="宋体" w:hAnsi="宋体" w:eastAsia="宋体" w:cs="宋体"/>
          <w:sz w:val="24"/>
          <w:szCs w:val="24"/>
          <w:lang w:val="en-US" w:eastAsia="zh-CN"/>
        </w:rPr>
        <w:t>机</w:t>
      </w:r>
      <w:r>
        <w:rPr>
          <w:rFonts w:hint="eastAsia" w:ascii="宋体" w:hAnsi="宋体" w:eastAsia="宋体" w:cs="宋体"/>
          <w:sz w:val="24"/>
          <w:szCs w:val="24"/>
        </w:rPr>
        <w:t>、红绿信号灯、道闸、雷达、语音指挥、摄像机、红外定位、语音对讲等设备。</w:t>
      </w:r>
    </w:p>
    <w:p>
      <w:pPr>
        <w:pStyle w:val="2"/>
        <w:rPr>
          <w:rFonts w:hint="eastAsia" w:ascii="宋体" w:hAnsi="宋体" w:eastAsia="宋体" w:cs="宋体"/>
          <w:sz w:val="24"/>
          <w:szCs w:val="24"/>
        </w:rPr>
      </w:pPr>
    </w:p>
    <w:p>
      <w:p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汽车衡具体情况：</w:t>
      </w:r>
    </w:p>
    <w:tbl>
      <w:tblPr>
        <w:tblStyle w:val="23"/>
        <w:tblW w:w="8053"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4"/>
        <w:gridCol w:w="1985"/>
        <w:gridCol w:w="2057"/>
        <w:gridCol w:w="20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改造地点</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地磅台数</w:t>
            </w:r>
          </w:p>
        </w:tc>
        <w:tc>
          <w:tcPr>
            <w:tcW w:w="2057"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功能描述</w:t>
            </w:r>
          </w:p>
        </w:tc>
        <w:tc>
          <w:tcPr>
            <w:tcW w:w="2027"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地磅</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台</w:t>
            </w:r>
          </w:p>
        </w:tc>
        <w:tc>
          <w:tcPr>
            <w:tcW w:w="2057" w:type="dxa"/>
          </w:tcPr>
          <w:p>
            <w:pPr>
              <w:spacing w:line="360" w:lineRule="auto"/>
              <w:ind w:firstLine="24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8进8出</w:t>
            </w:r>
          </w:p>
        </w:tc>
        <w:tc>
          <w:tcPr>
            <w:tcW w:w="2027"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lang w:val="en-US" w:eastAsia="zh-CN"/>
              </w:rPr>
              <w:t>双</w:t>
            </w:r>
            <w:r>
              <w:rPr>
                <w:rFonts w:hint="eastAsia" w:ascii="宋体" w:hAnsi="宋体" w:eastAsia="宋体" w:cs="宋体"/>
                <w:sz w:val="24"/>
                <w:szCs w:val="24"/>
              </w:rPr>
              <w:t>向设计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合计</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台</w:t>
            </w:r>
          </w:p>
        </w:tc>
        <w:tc>
          <w:tcPr>
            <w:tcW w:w="2057" w:type="dxa"/>
          </w:tcPr>
          <w:p>
            <w:pPr>
              <w:spacing w:line="360" w:lineRule="auto"/>
              <w:ind w:firstLine="240"/>
              <w:jc w:val="center"/>
              <w:rPr>
                <w:rFonts w:hint="eastAsia" w:ascii="宋体" w:hAnsi="宋体" w:eastAsia="宋体" w:cs="宋体"/>
                <w:sz w:val="24"/>
                <w:szCs w:val="24"/>
              </w:rPr>
            </w:pPr>
          </w:p>
        </w:tc>
        <w:tc>
          <w:tcPr>
            <w:tcW w:w="2027" w:type="dxa"/>
          </w:tcPr>
          <w:p>
            <w:pPr>
              <w:spacing w:line="360" w:lineRule="auto"/>
              <w:ind w:firstLine="240"/>
              <w:jc w:val="center"/>
              <w:rPr>
                <w:rFonts w:hint="eastAsia" w:ascii="宋体" w:hAnsi="宋体" w:eastAsia="宋体" w:cs="宋体"/>
                <w:sz w:val="24"/>
                <w:szCs w:val="24"/>
              </w:rPr>
            </w:pPr>
          </w:p>
        </w:tc>
      </w:tr>
    </w:tbl>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45" w:name="_Toc24122589"/>
      <w:bookmarkStart w:id="46" w:name="_Toc19649418"/>
      <w:bookmarkStart w:id="47" w:name="_Toc12812"/>
      <w:bookmarkStart w:id="48" w:name="_Toc50970546"/>
      <w:r>
        <w:rPr>
          <w:rFonts w:hint="eastAsia" w:ascii="宋体" w:hAnsi="宋体" w:eastAsia="宋体" w:cs="宋体"/>
          <w:b w:val="0"/>
          <w:sz w:val="24"/>
          <w:szCs w:val="24"/>
        </w:rPr>
        <w:t>计量集中监管中心</w:t>
      </w:r>
      <w:bookmarkEnd w:id="45"/>
      <w:bookmarkEnd w:id="46"/>
      <w:bookmarkEnd w:id="47"/>
      <w:bookmarkEnd w:id="4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建立集中监管中心，充</w:t>
      </w:r>
      <w:r>
        <w:rPr>
          <w:rFonts w:hint="eastAsia" w:ascii="宋体" w:hAnsi="宋体" w:eastAsia="宋体" w:cs="宋体"/>
          <w:color w:val="0D0D0D"/>
          <w:sz w:val="24"/>
          <w:szCs w:val="24"/>
          <w:lang w:val="zh-CN"/>
        </w:rPr>
        <w:t>分整合</w:t>
      </w:r>
      <w:r>
        <w:rPr>
          <w:rFonts w:hint="eastAsia" w:ascii="宋体" w:hAnsi="宋体" w:eastAsia="宋体" w:cs="宋体"/>
          <w:color w:val="0D0D0D"/>
          <w:sz w:val="24"/>
          <w:szCs w:val="24"/>
          <w:lang w:val="en-US" w:eastAsia="zh-CN"/>
        </w:rPr>
        <w:t>公司</w:t>
      </w:r>
      <w:r>
        <w:rPr>
          <w:rFonts w:hint="eastAsia" w:ascii="宋体" w:hAnsi="宋体" w:eastAsia="宋体" w:cs="宋体"/>
          <w:color w:val="0D0D0D"/>
          <w:sz w:val="24"/>
          <w:szCs w:val="24"/>
          <w:lang w:val="zh-CN"/>
        </w:rPr>
        <w:t>现有衡器设备，并结合多种计量防作弊手段，</w:t>
      </w:r>
      <w:r>
        <w:rPr>
          <w:rFonts w:hint="eastAsia" w:ascii="宋体" w:hAnsi="宋体" w:eastAsia="宋体" w:cs="宋体"/>
          <w:sz w:val="24"/>
          <w:szCs w:val="24"/>
        </w:rPr>
        <w:t>主要对计量过程监测和管理、计量衡器运行监测、前端设备运行监测、异常审批、资源调度且在计量过程有帮助时通过语音对讲与前端进行对接。基于对计量数据的分析，可对计量过程进行监测和管理，避免计量差错及人员误操作而产生的损失。利用先进技术实现计量衡器资源的动态平衡，提高设备的利用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计量监控中心配置：计量监控拼接大屏、监管操作台、监管电脑及语音对讲主机。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现场没有规划计量监控中心。</w:t>
      </w:r>
    </w:p>
    <w:p>
      <w:p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规划示意图：</w:t>
      </w:r>
    </w:p>
    <w:p>
      <w:pPr>
        <w:spacing w:line="360" w:lineRule="auto"/>
        <w:ind w:firstLine="240"/>
        <w:rPr>
          <w:rFonts w:hint="eastAsia" w:ascii="宋体" w:hAnsi="宋体" w:eastAsia="宋体" w:cs="宋体"/>
          <w:b w:val="0"/>
          <w:sz w:val="24"/>
          <w:szCs w:val="24"/>
        </w:rPr>
      </w:pPr>
      <w:r>
        <w:rPr>
          <w:rFonts w:hint="eastAsia" w:ascii="宋体" w:hAnsi="宋体" w:eastAsia="宋体" w:cs="宋体"/>
          <w:sz w:val="24"/>
          <w:szCs w:val="24"/>
        </w:rPr>
        <w:drawing>
          <wp:inline distT="0" distB="0" distL="0" distR="0">
            <wp:extent cx="5276850" cy="3204210"/>
            <wp:effectExtent l="0" t="0" r="0" b="15240"/>
            <wp:docPr id="43" name="图片 43" descr="E:\图片\5集中监管\集中监管示意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E:\图片\5集中监管\集中监管示意图.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6850" cy="3204210"/>
                    </a:xfrm>
                    <a:prstGeom prst="rect">
                      <a:avLst/>
                    </a:prstGeom>
                    <a:noFill/>
                    <a:ln>
                      <a:noFill/>
                    </a:ln>
                  </pic:spPr>
                </pic:pic>
              </a:graphicData>
            </a:graphic>
          </wp:inline>
        </w:drawing>
      </w:r>
    </w:p>
    <w:p>
      <w:pPr>
        <w:rPr>
          <w:rFonts w:hint="eastAsia" w:eastAsia="宋体"/>
          <w:lang w:eastAsia="zh-CN"/>
        </w:rPr>
        <w:sectPr>
          <w:pgSz w:w="11906" w:h="16838"/>
          <w:pgMar w:top="1440" w:right="1797" w:bottom="1440" w:left="1797" w:header="851" w:footer="567" w:gutter="0"/>
          <w:cols w:space="425" w:num="1"/>
          <w:titlePg/>
          <w:docGrid w:type="lines" w:linePitch="312" w:charSpace="0"/>
        </w:sectPr>
      </w:pPr>
    </w:p>
    <w:p>
      <w:pPr>
        <w:pStyle w:val="3"/>
        <w:numPr>
          <w:ilvl w:val="0"/>
          <w:numId w:val="1"/>
        </w:numPr>
        <w:spacing w:before="0" w:after="0" w:line="360" w:lineRule="auto"/>
        <w:rPr>
          <w:rFonts w:hint="eastAsia" w:ascii="宋体" w:hAnsi="宋体" w:eastAsia="宋体" w:cs="宋体"/>
          <w:b w:val="0"/>
          <w:sz w:val="24"/>
          <w:szCs w:val="24"/>
        </w:rPr>
      </w:pPr>
      <w:bookmarkStart w:id="49" w:name="_Toc7656"/>
      <w:r>
        <w:rPr>
          <w:rFonts w:hint="eastAsia" w:ascii="宋体" w:hAnsi="宋体" w:eastAsia="宋体" w:cs="宋体"/>
          <w:b w:val="0"/>
          <w:sz w:val="24"/>
          <w:szCs w:val="24"/>
        </w:rPr>
        <w:t>总体设计</w:t>
      </w:r>
      <w:bookmarkEnd w:id="34"/>
      <w:bookmarkEnd w:id="49"/>
    </w:p>
    <w:p>
      <w:pPr>
        <w:pStyle w:val="4"/>
        <w:numPr>
          <w:ilvl w:val="1"/>
          <w:numId w:val="1"/>
        </w:numPr>
        <w:spacing w:before="0" w:line="360" w:lineRule="auto"/>
        <w:ind w:left="-321" w:firstLine="321"/>
        <w:rPr>
          <w:rFonts w:hint="eastAsia" w:ascii="宋体" w:hAnsi="宋体" w:eastAsia="宋体" w:cs="宋体"/>
          <w:b w:val="0"/>
          <w:sz w:val="24"/>
          <w:szCs w:val="24"/>
        </w:rPr>
      </w:pPr>
      <w:bookmarkStart w:id="50" w:name="_Toc5997"/>
      <w:bookmarkStart w:id="51" w:name="_Toc50021184"/>
      <w:r>
        <w:rPr>
          <w:rFonts w:hint="eastAsia" w:ascii="宋体" w:hAnsi="宋体" w:eastAsia="宋体" w:cs="宋体"/>
          <w:b w:val="0"/>
          <w:sz w:val="24"/>
          <w:szCs w:val="24"/>
        </w:rPr>
        <w:t>系统整体架构设计</w:t>
      </w:r>
      <w:bookmarkEnd w:id="50"/>
      <w:bookmarkEnd w:id="51"/>
    </w:p>
    <w:p>
      <w:pPr>
        <w:rPr>
          <w:rFonts w:hint="eastAsia" w:ascii="宋体" w:hAnsi="宋体" w:eastAsia="宋体" w:cs="宋体"/>
          <w:sz w:val="24"/>
          <w:szCs w:val="24"/>
        </w:rPr>
      </w:pPr>
      <w:r>
        <w:rPr>
          <w:rFonts w:hint="eastAsia" w:ascii="宋体" w:hAnsi="宋体" w:eastAsia="宋体" w:cs="宋体"/>
          <w:sz w:val="24"/>
          <w:szCs w:val="24"/>
        </w:rPr>
        <w:object>
          <v:shape id="_x0000_i1025" o:spt="75" type="#_x0000_t75" style="height:259.75pt;width:424.05pt;" o:ole="t" filled="f" coordsize="21600,21600">
            <v:path/>
            <v:fill on="f" focussize="0,0"/>
            <v:stroke/>
            <v:imagedata r:id="rId11" o:title=""/>
            <o:lock v:ext="edit" aspectratio="t"/>
            <w10:wrap type="none"/>
            <w10:anchorlock/>
          </v:shape>
          <o:OLEObject Type="Embed" ProgID="Visio.Drawing.15" ShapeID="_x0000_i1025" DrawAspect="Content" ObjectID="_1468075725" r:id="rId10">
            <o:LockedField>false</o:LockedField>
          </o:OLEObject>
        </w:object>
      </w:r>
    </w:p>
    <w:p>
      <w:pPr>
        <w:rPr>
          <w:rFonts w:hint="eastAsia" w:ascii="宋体" w:hAnsi="宋体" w:eastAsia="宋体" w:cs="宋体"/>
          <w:sz w:val="24"/>
          <w:szCs w:val="24"/>
        </w:rPr>
        <w:sectPr>
          <w:pgSz w:w="11906" w:h="16838"/>
          <w:pgMar w:top="1440" w:right="1797" w:bottom="1440" w:left="1797" w:header="851" w:footer="567" w:gutter="0"/>
          <w:cols w:space="425" w:num="1"/>
          <w:titlePg/>
          <w:docGrid w:type="lines" w:linePitch="312" w:charSpace="0"/>
        </w:sectPr>
      </w:pPr>
    </w:p>
    <w:p>
      <w:pPr>
        <w:pStyle w:val="4"/>
        <w:numPr>
          <w:ilvl w:val="1"/>
          <w:numId w:val="1"/>
        </w:numPr>
        <w:spacing w:before="0" w:line="360" w:lineRule="auto"/>
        <w:ind w:left="-321" w:firstLine="321"/>
        <w:rPr>
          <w:rFonts w:hint="eastAsia" w:ascii="宋体" w:hAnsi="宋体" w:eastAsia="宋体" w:cs="宋体"/>
          <w:b w:val="0"/>
          <w:sz w:val="24"/>
          <w:szCs w:val="24"/>
        </w:rPr>
      </w:pPr>
      <w:bookmarkStart w:id="52" w:name="_Toc50021185"/>
      <w:bookmarkStart w:id="53" w:name="_Toc9407"/>
      <w:r>
        <w:rPr>
          <w:rFonts w:hint="eastAsia" w:ascii="宋体" w:hAnsi="宋体" w:eastAsia="宋体" w:cs="宋体"/>
          <w:b w:val="0"/>
          <w:sz w:val="24"/>
          <w:szCs w:val="24"/>
        </w:rPr>
        <w:t>系统网络拓扑设计</w:t>
      </w:r>
      <w:bookmarkEnd w:id="52"/>
      <w:bookmarkEnd w:id="53"/>
    </w:p>
    <w:p>
      <w:pPr>
        <w:jc w:val="left"/>
        <w:rPr>
          <w:rFonts w:hint="eastAsia" w:ascii="宋体" w:hAnsi="宋体" w:eastAsia="宋体" w:cs="宋体"/>
          <w:sz w:val="24"/>
          <w:szCs w:val="24"/>
        </w:rPr>
        <w:sectPr>
          <w:pgSz w:w="16838" w:h="11906" w:orient="landscape"/>
          <w:pgMar w:top="1797" w:right="1440" w:bottom="1797" w:left="1440" w:header="851" w:footer="567" w:gutter="0"/>
          <w:cols w:space="425" w:num="1"/>
          <w:titlePg/>
          <w:docGrid w:linePitch="312" w:charSpace="0"/>
        </w:sectPr>
      </w:pPr>
      <w:r>
        <w:rPr>
          <w:rFonts w:hint="eastAsia" w:ascii="宋体" w:hAnsi="宋体" w:eastAsia="宋体" w:cs="宋体"/>
          <w:sz w:val="24"/>
          <w:szCs w:val="24"/>
        </w:rPr>
        <w:drawing>
          <wp:inline distT="0" distB="0" distL="0" distR="0">
            <wp:extent cx="9574530" cy="3943350"/>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2" cstate="print">
                      <a:extLst>
                        <a:ext uri="{28A0092B-C50C-407E-A947-70E740481C1C}">
                          <a14:useLocalDpi xmlns:a14="http://schemas.microsoft.com/office/drawing/2010/main" val="0"/>
                        </a:ext>
                      </a:extLst>
                    </a:blip>
                    <a:srcRect t="10620" r="4348" b="21157"/>
                    <a:stretch>
                      <a:fillRect/>
                    </a:stretch>
                  </pic:blipFill>
                  <pic:spPr>
                    <a:xfrm>
                      <a:off x="0" y="0"/>
                      <a:ext cx="9592184" cy="3950418"/>
                    </a:xfrm>
                    <a:prstGeom prst="rect">
                      <a:avLst/>
                    </a:prstGeom>
                    <a:noFill/>
                    <a:ln>
                      <a:noFill/>
                    </a:ln>
                  </pic:spPr>
                </pic:pic>
              </a:graphicData>
            </a:graphic>
          </wp:inline>
        </w:drawing>
      </w:r>
    </w:p>
    <w:p>
      <w:pPr>
        <w:pStyle w:val="4"/>
        <w:numPr>
          <w:ilvl w:val="1"/>
          <w:numId w:val="1"/>
        </w:numPr>
        <w:spacing w:before="0" w:line="360" w:lineRule="auto"/>
        <w:ind w:left="-321" w:firstLine="321"/>
        <w:rPr>
          <w:rFonts w:hint="eastAsia" w:ascii="宋体" w:hAnsi="宋体" w:eastAsia="宋体" w:cs="宋体"/>
          <w:b w:val="0"/>
          <w:sz w:val="24"/>
          <w:szCs w:val="24"/>
        </w:rPr>
      </w:pPr>
      <w:bookmarkStart w:id="54" w:name="_Toc50021188"/>
      <w:bookmarkStart w:id="55" w:name="_Toc15257"/>
      <w:r>
        <w:rPr>
          <w:rFonts w:hint="eastAsia" w:ascii="宋体" w:hAnsi="宋体" w:eastAsia="宋体" w:cs="宋体"/>
          <w:b w:val="0"/>
          <w:sz w:val="24"/>
          <w:szCs w:val="24"/>
        </w:rPr>
        <w:t>业务流程</w:t>
      </w:r>
      <w:bookmarkEnd w:id="54"/>
      <w:bookmarkEnd w:id="55"/>
    </w:p>
    <w:p>
      <w:pPr>
        <w:pStyle w:val="2"/>
        <w:jc w:val="center"/>
        <w:rPr>
          <w:rFonts w:hint="eastAsia"/>
          <w:lang w:val="en-US" w:eastAsia="zh-CN"/>
        </w:rPr>
        <w:sectPr>
          <w:pgSz w:w="16838" w:h="11906" w:orient="landscape"/>
          <w:pgMar w:top="1797" w:right="1440" w:bottom="1797" w:left="680" w:header="851" w:footer="57" w:gutter="0"/>
          <w:cols w:space="425" w:num="1"/>
          <w:docGrid w:type="lines" w:linePitch="326" w:charSpace="0"/>
        </w:sectPr>
      </w:pPr>
      <w:r>
        <w:rPr>
          <w:rFonts w:hint="eastAsia" w:ascii="宋体" w:hAnsi="宋体" w:eastAsia="宋体" w:cs="宋体"/>
          <w:sz w:val="24"/>
          <w:szCs w:val="24"/>
        </w:rPr>
        <w:drawing>
          <wp:inline distT="0" distB="0" distL="0" distR="0">
            <wp:extent cx="8552180" cy="4731385"/>
            <wp:effectExtent l="0" t="0" r="1270" b="1206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3"/>
                    <a:stretch>
                      <a:fillRect/>
                    </a:stretch>
                  </pic:blipFill>
                  <pic:spPr>
                    <a:xfrm>
                      <a:off x="0" y="0"/>
                      <a:ext cx="8552180" cy="4731385"/>
                    </a:xfrm>
                    <a:prstGeom prst="rect">
                      <a:avLst/>
                    </a:prstGeom>
                  </pic:spPr>
                </pic:pic>
              </a:graphicData>
            </a:graphic>
          </wp:inline>
        </w:drawing>
      </w:r>
    </w:p>
    <w:p>
      <w:pPr>
        <w:rPr>
          <w:rFonts w:hint="eastAsia" w:ascii="宋体" w:hAnsi="宋体" w:eastAsia="宋体" w:cs="宋体"/>
          <w:sz w:val="24"/>
          <w:szCs w:val="24"/>
        </w:rPr>
      </w:pPr>
    </w:p>
    <w:p>
      <w:pPr>
        <w:pStyle w:val="4"/>
        <w:numPr>
          <w:ilvl w:val="1"/>
          <w:numId w:val="1"/>
        </w:numPr>
        <w:spacing w:before="0" w:line="360" w:lineRule="auto"/>
        <w:ind w:left="-321" w:firstLine="321"/>
        <w:rPr>
          <w:rFonts w:hint="eastAsia" w:ascii="宋体" w:hAnsi="宋体" w:eastAsia="宋体" w:cs="宋体"/>
          <w:b w:val="0"/>
          <w:sz w:val="24"/>
          <w:szCs w:val="24"/>
        </w:rPr>
      </w:pPr>
      <w:bookmarkStart w:id="56" w:name="_Toc50021189"/>
      <w:bookmarkStart w:id="57" w:name="_Toc30030"/>
      <w:r>
        <w:rPr>
          <w:rFonts w:hint="eastAsia" w:ascii="宋体" w:hAnsi="宋体" w:eastAsia="宋体" w:cs="宋体"/>
          <w:b w:val="0"/>
          <w:sz w:val="24"/>
          <w:szCs w:val="24"/>
        </w:rPr>
        <w:t>业务流程描述</w:t>
      </w:r>
      <w:bookmarkEnd w:id="56"/>
      <w:bookmarkEnd w:id="57"/>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无人值守系统自建采购订单、销售订单；</w:t>
      </w:r>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客户/供应商/承运商可通过平台（PC-WEB端或APP端）进行运力维护，依据采购订单/销售订单进行派车；</w:t>
      </w:r>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车辆入厂刷身份证</w:t>
      </w:r>
      <w:r>
        <w:rPr>
          <w:rFonts w:hint="eastAsia" w:ascii="宋体" w:hAnsi="宋体" w:cs="宋体"/>
          <w:sz w:val="24"/>
          <w:szCs w:val="24"/>
          <w:lang w:val="en-US" w:eastAsia="zh-CN"/>
        </w:rPr>
        <w:t>/扫码</w:t>
      </w:r>
      <w:r>
        <w:rPr>
          <w:rFonts w:hint="eastAsia" w:ascii="宋体" w:hAnsi="宋体" w:eastAsia="宋体" w:cs="宋体"/>
          <w:sz w:val="24"/>
          <w:szCs w:val="24"/>
        </w:rPr>
        <w:t>通过时系统记录入厂时间并通过LED显示请核验，反之提示禁止入厂；</w:t>
      </w:r>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计量车辆进入汽车衡</w:t>
      </w:r>
      <w:r>
        <w:rPr>
          <w:rFonts w:hint="eastAsia" w:ascii="宋体" w:hAnsi="宋体" w:cs="宋体"/>
          <w:sz w:val="24"/>
          <w:szCs w:val="24"/>
          <w:lang w:val="en-US" w:eastAsia="zh-CN"/>
        </w:rPr>
        <w:t>扫码</w:t>
      </w:r>
      <w:r>
        <w:rPr>
          <w:rFonts w:hint="eastAsia" w:ascii="宋体" w:hAnsi="宋体" w:eastAsia="宋体" w:cs="宋体"/>
          <w:sz w:val="24"/>
          <w:szCs w:val="24"/>
        </w:rPr>
        <w:t>自动计量；</w:t>
      </w:r>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一次计量称重完成，提示司机计量完成请下磅，请到某仓库某卸货点卸货；销售车辆进入装货区，装货</w:t>
      </w:r>
    </w:p>
    <w:p>
      <w:pPr>
        <w:pStyle w:val="34"/>
        <w:numPr>
          <w:ilvl w:val="0"/>
          <w:numId w:val="5"/>
        </w:numPr>
        <w:ind w:firstLineChars="0"/>
        <w:rPr>
          <w:rFonts w:hint="eastAsia" w:ascii="宋体" w:hAnsi="宋体" w:eastAsia="宋体" w:cs="宋体"/>
          <w:sz w:val="24"/>
          <w:szCs w:val="24"/>
        </w:rPr>
      </w:pPr>
      <w:r>
        <w:rPr>
          <w:rFonts w:hint="eastAsia" w:ascii="宋体" w:hAnsi="宋体" w:eastAsia="宋体" w:cs="宋体"/>
          <w:sz w:val="24"/>
          <w:szCs w:val="24"/>
        </w:rPr>
        <w:t>车辆二次计量结束后，语音提示：计量完成，请下磅。司机开车到出厂门禁，刷身份证</w:t>
      </w:r>
      <w:r>
        <w:rPr>
          <w:rFonts w:hint="eastAsia" w:ascii="宋体" w:hAnsi="宋体" w:cs="宋体"/>
          <w:sz w:val="24"/>
          <w:szCs w:val="24"/>
          <w:lang w:val="en-US" w:eastAsia="zh-CN"/>
        </w:rPr>
        <w:t>/扫码</w:t>
      </w:r>
      <w:r>
        <w:rPr>
          <w:rFonts w:hint="eastAsia" w:ascii="宋体" w:hAnsi="宋体" w:eastAsia="宋体" w:cs="宋体"/>
          <w:sz w:val="24"/>
          <w:szCs w:val="24"/>
        </w:rPr>
        <w:t>，校验业务完整性，系统自动打印交货单、磅单，同时抬杆放行；</w:t>
      </w:r>
    </w:p>
    <w:p>
      <w:pPr>
        <w:rPr>
          <w:rFonts w:hint="eastAsia" w:ascii="宋体" w:hAnsi="宋体" w:eastAsia="宋体" w:cs="宋体"/>
          <w:sz w:val="24"/>
          <w:szCs w:val="24"/>
        </w:rPr>
      </w:pPr>
    </w:p>
    <w:p>
      <w:pPr>
        <w:pStyle w:val="3"/>
        <w:rPr>
          <w:rFonts w:hint="eastAsia" w:ascii="宋体" w:hAnsi="宋体" w:eastAsia="宋体" w:cs="宋体"/>
          <w:sz w:val="24"/>
          <w:szCs w:val="24"/>
        </w:rPr>
      </w:pPr>
      <w:bookmarkStart w:id="58" w:name="_Toc23892"/>
      <w:bookmarkStart w:id="59" w:name="_Toc50021190"/>
      <w:r>
        <w:rPr>
          <w:rFonts w:hint="eastAsia" w:ascii="宋体" w:hAnsi="宋体" w:eastAsia="宋体" w:cs="宋体"/>
          <w:sz w:val="24"/>
          <w:szCs w:val="24"/>
          <w:lang w:val="en-US" w:eastAsia="zh-CN"/>
        </w:rPr>
        <w:t xml:space="preserve">5 </w:t>
      </w:r>
      <w:r>
        <w:rPr>
          <w:rFonts w:hint="eastAsia" w:ascii="宋体" w:hAnsi="宋体" w:eastAsia="宋体" w:cs="宋体"/>
          <w:sz w:val="24"/>
          <w:szCs w:val="24"/>
        </w:rPr>
        <w:t>功能模块及详情</w:t>
      </w:r>
      <w:bookmarkEnd w:id="58"/>
    </w:p>
    <w:p>
      <w:pPr>
        <w:pStyle w:val="4"/>
        <w:rPr>
          <w:rFonts w:hint="eastAsia" w:ascii="宋体" w:hAnsi="宋体" w:eastAsia="宋体" w:cs="宋体"/>
          <w:sz w:val="24"/>
          <w:szCs w:val="24"/>
        </w:rPr>
      </w:pPr>
      <w:bookmarkStart w:id="60" w:name="_Toc30208"/>
      <w:r>
        <w:rPr>
          <w:rFonts w:hint="eastAsia" w:ascii="宋体" w:hAnsi="宋体" w:eastAsia="宋体" w:cs="宋体"/>
          <w:sz w:val="24"/>
          <w:szCs w:val="24"/>
        </w:rPr>
        <w:t>5.1后台管理系统</w:t>
      </w:r>
      <w:bookmarkEnd w:id="60"/>
    </w:p>
    <w:p>
      <w:pPr>
        <w:pStyle w:val="5"/>
        <w:rPr>
          <w:rFonts w:hint="eastAsia" w:ascii="宋体" w:hAnsi="宋体" w:eastAsia="宋体" w:cs="宋体"/>
          <w:sz w:val="24"/>
          <w:szCs w:val="24"/>
        </w:rPr>
      </w:pPr>
      <w:bookmarkStart w:id="61" w:name="_Toc18739"/>
      <w:r>
        <w:rPr>
          <w:rFonts w:hint="eastAsia" w:ascii="宋体" w:hAnsi="宋体" w:eastAsia="宋体" w:cs="宋体"/>
          <w:sz w:val="24"/>
          <w:szCs w:val="24"/>
        </w:rPr>
        <w:t>5.1.1租户管理</w:t>
      </w:r>
      <w:bookmarkEnd w:id="6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功能描述：管理</w:t>
      </w:r>
      <w:r>
        <w:rPr>
          <w:rFonts w:hint="eastAsia" w:ascii="宋体" w:hAnsi="宋体" w:eastAsia="宋体" w:cs="宋体"/>
          <w:sz w:val="24"/>
          <w:szCs w:val="24"/>
          <w:lang w:val="en-US" w:eastAsia="zh-CN"/>
        </w:rPr>
        <w:t>公司</w:t>
      </w:r>
      <w:r>
        <w:rPr>
          <w:rFonts w:hint="eastAsia" w:ascii="宋体" w:hAnsi="宋体" w:eastAsia="宋体" w:cs="宋体"/>
          <w:sz w:val="24"/>
          <w:szCs w:val="24"/>
        </w:rPr>
        <w:t>所有租户信息。</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目前公司是单租户模式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所需字段：租户名称，联系人，联系电话，调</w:t>
      </w:r>
      <w:r>
        <w:rPr>
          <w:rFonts w:hint="eastAsia" w:ascii="宋体" w:hAnsi="宋体" w:eastAsia="宋体" w:cs="宋体"/>
          <w:sz w:val="24"/>
          <w:szCs w:val="24"/>
          <w:lang w:val="en-US" w:eastAsia="zh-CN"/>
        </w:rPr>
        <w:t>货</w:t>
      </w:r>
      <w:r>
        <w:rPr>
          <w:rFonts w:hint="eastAsia" w:ascii="宋体" w:hAnsi="宋体" w:eastAsia="宋体" w:cs="宋体"/>
          <w:sz w:val="24"/>
          <w:szCs w:val="24"/>
        </w:rPr>
        <w:t>员，调</w:t>
      </w:r>
      <w:r>
        <w:rPr>
          <w:rFonts w:hint="eastAsia" w:ascii="宋体" w:hAnsi="宋体" w:eastAsia="宋体" w:cs="宋体"/>
          <w:sz w:val="24"/>
          <w:szCs w:val="24"/>
          <w:lang w:val="en-US" w:eastAsia="zh-CN"/>
        </w:rPr>
        <w:t>货</w:t>
      </w:r>
      <w:r>
        <w:rPr>
          <w:rFonts w:hint="eastAsia" w:ascii="宋体" w:hAnsi="宋体" w:eastAsia="宋体" w:cs="宋体"/>
          <w:sz w:val="24"/>
          <w:szCs w:val="24"/>
        </w:rPr>
        <w:t>员联系电话。调</w:t>
      </w:r>
      <w:r>
        <w:rPr>
          <w:rFonts w:hint="eastAsia" w:ascii="宋体" w:hAnsi="宋体" w:eastAsia="宋体" w:cs="宋体"/>
          <w:sz w:val="24"/>
          <w:szCs w:val="24"/>
          <w:lang w:val="en-US" w:eastAsia="zh-CN"/>
        </w:rPr>
        <w:t>货</w:t>
      </w:r>
      <w:r>
        <w:rPr>
          <w:rFonts w:hint="eastAsia" w:ascii="宋体" w:hAnsi="宋体" w:eastAsia="宋体" w:cs="宋体"/>
          <w:sz w:val="24"/>
          <w:szCs w:val="24"/>
        </w:rPr>
        <w:t>员有时候好几个，有时候又没有，不一定，所以做成可以配置的。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支持增加、修改和启用/禁用，按租户名称或联系人搜索。</w:t>
      </w:r>
    </w:p>
    <w:p>
      <w:pPr>
        <w:pStyle w:val="5"/>
        <w:rPr>
          <w:rFonts w:hint="eastAsia" w:ascii="宋体" w:hAnsi="宋体" w:eastAsia="宋体" w:cs="宋体"/>
          <w:sz w:val="24"/>
          <w:szCs w:val="24"/>
        </w:rPr>
      </w:pPr>
      <w:bookmarkStart w:id="62" w:name="_Toc2466"/>
      <w:r>
        <w:rPr>
          <w:rFonts w:hint="eastAsia" w:ascii="宋体" w:hAnsi="宋体" w:eastAsia="宋体" w:cs="宋体"/>
          <w:sz w:val="24"/>
          <w:szCs w:val="24"/>
        </w:rPr>
        <w:t>5.1.2用户管理</w:t>
      </w:r>
      <w:bookmarkEnd w:id="62"/>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功能描述：管理所有可使用系统的用户信息。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平台用户均为公司内部人员，按不同职位分为：总经理，厂长，财务总监，销售总监，财务人员，销售人员，司磅员（分为</w:t>
      </w:r>
      <w:r>
        <w:rPr>
          <w:rFonts w:hint="eastAsia" w:ascii="宋体" w:hAnsi="宋体" w:eastAsia="宋体" w:cs="宋体"/>
          <w:sz w:val="24"/>
          <w:szCs w:val="24"/>
          <w:lang w:val="en-US" w:eastAsia="zh-CN"/>
        </w:rPr>
        <w:t>矿山、硅石厂</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硅粉厂和石英砂厂</w:t>
      </w:r>
      <w:r>
        <w:rPr>
          <w:rFonts w:hint="eastAsia" w:ascii="宋体" w:hAnsi="宋体" w:eastAsia="宋体" w:cs="宋体"/>
          <w:sz w:val="24"/>
          <w:szCs w:val="24"/>
        </w:rPr>
        <w:t>），磅房负责人（分为</w:t>
      </w:r>
      <w:r>
        <w:rPr>
          <w:rFonts w:hint="eastAsia" w:ascii="宋体" w:hAnsi="宋体" w:eastAsia="宋体" w:cs="宋体"/>
          <w:sz w:val="24"/>
          <w:szCs w:val="24"/>
          <w:lang w:val="en-US" w:eastAsia="zh-CN"/>
        </w:rPr>
        <w:t>矿山、硅石厂</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硅粉厂和石英砂厂</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用户列表所需字段：用户名，手机号，账号状态（启用/停用） ，职位。职位是下拉列表选择的，数据库维护一个，要加联系陆运帮技术人员加。</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支持新增，修改，启用/停用，修改密码。</w:t>
      </w:r>
    </w:p>
    <w:p>
      <w:pPr>
        <w:pStyle w:val="5"/>
        <w:rPr>
          <w:rFonts w:hint="eastAsia" w:ascii="宋体" w:hAnsi="宋体" w:eastAsia="宋体" w:cs="宋体"/>
          <w:sz w:val="24"/>
          <w:szCs w:val="24"/>
        </w:rPr>
      </w:pPr>
      <w:bookmarkStart w:id="63" w:name="_Toc9524"/>
      <w:r>
        <w:rPr>
          <w:rFonts w:hint="eastAsia" w:ascii="宋体" w:hAnsi="宋体" w:eastAsia="宋体" w:cs="宋体"/>
          <w:sz w:val="24"/>
          <w:szCs w:val="24"/>
        </w:rPr>
        <w:t>5.1.3客户管理</w:t>
      </w:r>
      <w:bookmarkEnd w:id="63"/>
    </w:p>
    <w:p>
      <w:pPr>
        <w:pStyle w:val="6"/>
        <w:rPr>
          <w:rFonts w:hint="eastAsia" w:ascii="宋体" w:hAnsi="宋体" w:eastAsia="宋体" w:cs="宋体"/>
          <w:sz w:val="24"/>
          <w:szCs w:val="24"/>
        </w:rPr>
      </w:pPr>
      <w:r>
        <w:rPr>
          <w:rFonts w:hint="eastAsia" w:ascii="宋体" w:hAnsi="宋体" w:eastAsia="宋体" w:cs="宋体"/>
          <w:sz w:val="24"/>
          <w:szCs w:val="24"/>
        </w:rPr>
        <w:t>5.1.3.1供应商/客户信息管理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功能描述：包括供应商和客户， 对货物信息和货源线路进行配置。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新增客户所需字段：业务类型（采购or销售），客户名称，联系人，联系电话，所属租户。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可根据租户实际情况，启用或停用某个客户及其货源线路。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客户管理列表所需字段：客户状态（启用/停用），客户名称，业务类型，所属租户，联系人，联系电话，创建人，创建时间，更新人，更新时间。</w:t>
      </w:r>
    </w:p>
    <w:p>
      <w:pPr>
        <w:pStyle w:val="6"/>
        <w:rPr>
          <w:rFonts w:hint="eastAsia" w:ascii="宋体" w:hAnsi="宋体" w:eastAsia="宋体" w:cs="宋体"/>
          <w:sz w:val="24"/>
          <w:szCs w:val="24"/>
        </w:rPr>
      </w:pPr>
      <w:r>
        <w:rPr>
          <w:rFonts w:hint="eastAsia" w:ascii="宋体" w:hAnsi="宋体" w:eastAsia="宋体" w:cs="宋体"/>
          <w:sz w:val="24"/>
          <w:szCs w:val="24"/>
        </w:rPr>
        <w:t>5.1.3.2货源线路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功能描述：收发货线路管理，附带货物品类，运价计算方式。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 货源线路有2种，都挂在客户下面：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（1）外运：从外面采购，或销售给客户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（2）内部流转：指公司内部流转并要过磅的货物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在定义货源线路时有所区别，货源上标注二次过磅。在运单中心查询条件和列表中，增加字段：货源类型（内部流转，外运），同时内部流转的货物打一个Tag标签：内部流转。</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2、新增货源所需字段：货源类型（内部流转，外运；默认外运），货物种类（</w:t>
      </w:r>
      <w:r>
        <w:rPr>
          <w:rFonts w:hint="eastAsia" w:ascii="宋体" w:hAnsi="宋体" w:eastAsia="宋体" w:cs="宋体"/>
          <w:sz w:val="24"/>
          <w:szCs w:val="24"/>
          <w:lang w:val="en-US" w:eastAsia="zh-CN"/>
        </w:rPr>
        <w:t>货</w:t>
      </w:r>
      <w:r>
        <w:rPr>
          <w:rFonts w:hint="eastAsia" w:ascii="宋体" w:hAnsi="宋体" w:eastAsia="宋体" w:cs="宋体"/>
          <w:sz w:val="24"/>
          <w:szCs w:val="24"/>
        </w:rPr>
        <w:t>种，其他。默认</w:t>
      </w:r>
      <w:r>
        <w:rPr>
          <w:rFonts w:hint="eastAsia" w:ascii="宋体" w:hAnsi="宋体" w:eastAsia="宋体" w:cs="宋体"/>
          <w:sz w:val="24"/>
          <w:szCs w:val="24"/>
          <w:lang w:val="en-US" w:eastAsia="zh-CN"/>
        </w:rPr>
        <w:t>货</w:t>
      </w:r>
      <w:r>
        <w:rPr>
          <w:rFonts w:hint="eastAsia" w:ascii="宋体" w:hAnsi="宋体" w:eastAsia="宋体" w:cs="宋体"/>
          <w:sz w:val="24"/>
          <w:szCs w:val="24"/>
        </w:rPr>
        <w:t>种），货物名称，发货地，收货地，货物单价，运费计算方式（元/吨），允许货损。</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选择货物种类为</w:t>
      </w:r>
      <w:r>
        <w:rPr>
          <w:rFonts w:hint="eastAsia" w:ascii="宋体" w:hAnsi="宋体" w:eastAsia="宋体" w:cs="宋体"/>
          <w:sz w:val="24"/>
          <w:szCs w:val="24"/>
          <w:lang w:eastAsia="zh-CN"/>
        </w:rPr>
        <w:t>货种</w:t>
      </w:r>
      <w:r>
        <w:rPr>
          <w:rFonts w:hint="eastAsia" w:ascii="宋体" w:hAnsi="宋体" w:eastAsia="宋体" w:cs="宋体"/>
          <w:sz w:val="24"/>
          <w:szCs w:val="24"/>
        </w:rPr>
        <w:t>时，多加一个字段，是否含水（是，否），必选。选择其他时，不需要该字段。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备注：客户反映，运费每吨多少钱是线下协商的，变动性较大，故不自动计算运费，只作为展示性信息。留个口子，以后需要的时候可以增加。</w:t>
      </w:r>
    </w:p>
    <w:p>
      <w:pPr>
        <w:pStyle w:val="5"/>
        <w:rPr>
          <w:rFonts w:hint="eastAsia" w:ascii="宋体" w:hAnsi="宋体" w:eastAsia="宋体" w:cs="宋体"/>
          <w:sz w:val="24"/>
          <w:szCs w:val="24"/>
        </w:rPr>
      </w:pPr>
      <w:bookmarkStart w:id="64" w:name="_Toc23315"/>
      <w:r>
        <w:rPr>
          <w:rFonts w:hint="eastAsia" w:ascii="宋体" w:hAnsi="宋体" w:eastAsia="宋体" w:cs="宋体"/>
          <w:sz w:val="24"/>
          <w:szCs w:val="24"/>
        </w:rPr>
        <w:t>5.1.4派车管理</w:t>
      </w:r>
      <w:bookmarkEnd w:id="6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功能描述：包括销售派车和采购派车，以及派车用户管理。</w:t>
      </w:r>
    </w:p>
    <w:p>
      <w:pPr>
        <w:pStyle w:val="6"/>
        <w:rPr>
          <w:rFonts w:hint="eastAsia" w:ascii="宋体" w:hAnsi="宋体" w:eastAsia="宋体" w:cs="宋体"/>
          <w:sz w:val="24"/>
          <w:szCs w:val="24"/>
        </w:rPr>
      </w:pPr>
      <w:r>
        <w:rPr>
          <w:rFonts w:hint="eastAsia" w:ascii="宋体" w:hAnsi="宋体" w:eastAsia="宋体" w:cs="宋体"/>
          <w:sz w:val="24"/>
          <w:szCs w:val="24"/>
        </w:rPr>
        <w:t>5.1.4.1派车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操作：给某一条货源线路派车时，输入车牌号，司机名称，司机手机号，备注。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派车管理列表所需字段：车牌号，客户名称，货物名称，发货单位，收货单位，司机姓名，司机手机号，备注。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支持按照车牌号搜索派车记录，支持删除（需要相应权限）。</w:t>
      </w:r>
    </w:p>
    <w:p>
      <w:pPr>
        <w:pStyle w:val="6"/>
        <w:rPr>
          <w:rFonts w:hint="eastAsia" w:ascii="宋体" w:hAnsi="宋体" w:eastAsia="宋体" w:cs="宋体"/>
          <w:sz w:val="24"/>
          <w:szCs w:val="24"/>
        </w:rPr>
      </w:pPr>
      <w:r>
        <w:rPr>
          <w:rFonts w:hint="eastAsia" w:ascii="宋体" w:hAnsi="宋体" w:eastAsia="宋体" w:cs="宋体"/>
          <w:sz w:val="24"/>
          <w:szCs w:val="24"/>
        </w:rPr>
        <w:t>5.1.4.2派车用户管理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仅用于派车时的用户。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支持按照客户名称/用户姓名/手机号，业务类型（采购，销售），是否锁定（是，否），所属租户进行查询。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派车用户管理列表所需字段：用户姓名，手机号，所属租户，客户名称，业务类型，是否锁定，创建人，创建时间。</w:t>
      </w:r>
    </w:p>
    <w:p>
      <w:pPr>
        <w:pStyle w:val="5"/>
        <w:rPr>
          <w:rFonts w:hint="eastAsia" w:ascii="宋体" w:hAnsi="宋体" w:eastAsia="宋体" w:cs="宋体"/>
          <w:sz w:val="24"/>
          <w:szCs w:val="24"/>
        </w:rPr>
      </w:pPr>
      <w:bookmarkStart w:id="65" w:name="_Toc547"/>
      <w:r>
        <w:rPr>
          <w:rFonts w:hint="eastAsia" w:ascii="宋体" w:hAnsi="宋体" w:eastAsia="宋体" w:cs="宋体"/>
          <w:sz w:val="24"/>
          <w:szCs w:val="24"/>
        </w:rPr>
        <w:t>5.1.5运单中心</w:t>
      </w:r>
      <w:bookmarkEnd w:id="6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功能描述：管理及操作所有运单。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主要是对过磅运单的管理，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1、操作方面：支持修改,删除（需要相应权限），补录运单，补打运单。支持查看过磅照片（车顶抓拍的）。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2、查看方面：支持按照车牌号，运单编号，客户名称，货物种类（</w:t>
      </w:r>
      <w:r>
        <w:rPr>
          <w:rFonts w:hint="eastAsia" w:ascii="宋体" w:hAnsi="宋体" w:eastAsia="宋体" w:cs="宋体"/>
          <w:sz w:val="24"/>
          <w:szCs w:val="24"/>
          <w:lang w:val="en-US" w:eastAsia="zh-CN"/>
        </w:rPr>
        <w:t>货</w:t>
      </w:r>
      <w:r>
        <w:rPr>
          <w:rFonts w:hint="eastAsia" w:ascii="宋体" w:hAnsi="宋体" w:eastAsia="宋体" w:cs="宋体"/>
          <w:sz w:val="24"/>
          <w:szCs w:val="24"/>
        </w:rPr>
        <w:t>种，其他），货物名称，运单状态（仅派车，待过毛，已完成），时间搜索运单。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highlight w:val="yellow"/>
        </w:rPr>
        <w:t>1、后台派车2、客户派车，3、司机派车（填运单）4、运单补录，产生运单的方式。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3、运单列表所需字段：车牌号，货物名称，货物种类（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发货单位，收货单位，司机手机号，毛重，皮重，净重，矿发净重，盈亏（净重-矿发），允许货损，货源类型（内部流转，外运），是否含水（是，否），运单状态（仅派车，待过毛，已完成），毛重时间（YYYYMMDD HH：MM：SS）皮重时间（YYYYMMDD HH：MM：SS），司磅员（按账号登录者姓名）。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highlight w:val="yellow"/>
        </w:rPr>
        <w:t>4、点击运单号，显示运单详情，查看过磅照片和上游矿发磅单。</w:t>
      </w:r>
    </w:p>
    <w:p>
      <w:pPr>
        <w:pStyle w:val="5"/>
        <w:rPr>
          <w:rFonts w:hint="eastAsia" w:ascii="宋体" w:hAnsi="宋体" w:eastAsia="宋体" w:cs="宋体"/>
          <w:sz w:val="24"/>
          <w:szCs w:val="24"/>
        </w:rPr>
      </w:pPr>
      <w:bookmarkStart w:id="66" w:name="_Toc19353"/>
      <w:r>
        <w:rPr>
          <w:rFonts w:hint="eastAsia" w:ascii="宋体" w:hAnsi="宋体" w:eastAsia="宋体" w:cs="宋体"/>
          <w:sz w:val="24"/>
          <w:szCs w:val="24"/>
        </w:rPr>
        <w:t>5.1.6计量过磅</w:t>
      </w:r>
      <w:bookmarkEnd w:id="66"/>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功能描述：连接仪表，称重过磅。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手动过磅：站台的过磅方式，以及自动过磅不可用时的备用方式。</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1．手动过磅分为厂内业务过磅，临时过磅。临时过磅不依赖货源线路和客户</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2．厂内业务过磅时，司磅员手动输入车牌号，选择收、发货单位，输入司机手机号，司机姓名，卸货时输入矿发净重，装货时不输入。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3.临时性过磅，司磅员手动输入车牌号，司机手机号，司机姓名。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4.临时性过磅不加入运单中心，只在计量过磅页面，留存记录即可。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5．临时性过磅不计入统计报表。</w:t>
      </w:r>
    </w:p>
    <w:p>
      <w:pPr>
        <w:pStyle w:val="5"/>
        <w:rPr>
          <w:rFonts w:hint="eastAsia" w:ascii="宋体" w:hAnsi="宋体" w:eastAsia="宋体" w:cs="宋体"/>
          <w:sz w:val="24"/>
          <w:szCs w:val="24"/>
        </w:rPr>
      </w:pPr>
      <w:bookmarkStart w:id="67" w:name="_Toc10552"/>
      <w:r>
        <w:rPr>
          <w:rFonts w:hint="eastAsia" w:ascii="宋体" w:hAnsi="宋体" w:eastAsia="宋体" w:cs="宋体"/>
          <w:sz w:val="24"/>
          <w:szCs w:val="24"/>
        </w:rPr>
        <w:t>5.1.7统计报表</w:t>
      </w:r>
      <w:bookmarkEnd w:id="6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功能描述：多维度的数据统计，统计只涉及汽运过磅的。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支持按照车牌号，货物名称，客户名称，时间进行查询：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1、企业采购报表：以供应商为主体，按货物名称，展示明细，统计车数，矿发吨数，实收吨数。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2、企业销售报表：以客户为主体，按货物名称，展示明细，统计车数，发出吨数。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3、商品采购报表：以货物品名为主体，按供应商名称，展示明细，统计车数，矿发吨数，实际吨数。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4、商品销售报表：以货物品名为主体，按客户名称，展示明细，统计车数，矿发吨数，实际吨数。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5、采购汇总报表：以供应商为主题，按货物名称，统计车数，矿发吨数，实收吨数。汇总总车数，总矿发吨数，总实收吨数。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6、销售汇总报表：以供应商为主题，按货物名称，统计车数，发出吨数。汇总总车数，总发出吨数。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7、列表支持导出，导出内容按筛选条件过滤。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8、内部流转的货物磅单不算在统计报表中。</w:t>
      </w:r>
    </w:p>
    <w:p>
      <w:pPr>
        <w:pStyle w:val="5"/>
        <w:rPr>
          <w:rFonts w:hint="eastAsia" w:ascii="宋体" w:hAnsi="宋体" w:eastAsia="宋体" w:cs="宋体"/>
          <w:sz w:val="24"/>
          <w:szCs w:val="24"/>
        </w:rPr>
      </w:pPr>
      <w:bookmarkStart w:id="68" w:name="_Toc16517"/>
      <w:r>
        <w:rPr>
          <w:rFonts w:hint="eastAsia" w:ascii="宋体" w:hAnsi="宋体" w:eastAsia="宋体" w:cs="宋体"/>
          <w:sz w:val="24"/>
          <w:szCs w:val="24"/>
        </w:rPr>
        <w:t>5.1.8库存管理</w:t>
      </w:r>
      <w:bookmarkEnd w:id="6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功能描述：根据过磅数据，对每一类货物的出、入库量，总量进行展示。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1、进销存按</w:t>
      </w:r>
      <w:r>
        <w:rPr>
          <w:rFonts w:hint="eastAsia" w:ascii="宋体" w:hAnsi="宋体" w:eastAsia="宋体" w:cs="宋体"/>
          <w:sz w:val="24"/>
          <w:szCs w:val="24"/>
          <w:lang w:eastAsia="zh-CN"/>
        </w:rPr>
        <w:t>货种</w:t>
      </w:r>
      <w:r>
        <w:rPr>
          <w:rFonts w:hint="eastAsia" w:ascii="宋体" w:hAnsi="宋体" w:eastAsia="宋体" w:cs="宋体"/>
          <w:sz w:val="24"/>
          <w:szCs w:val="24"/>
        </w:rPr>
        <w:t>分，每一个品类每天的进、销存量，库存量的统计。根据过磅数据，自动出入库,不考虑洗煤过程中发生的损耗。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、支持按照客户名称、货物名称和时间查询，并且货物名称可以多选。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、库存管理所需字段：所属租户，货物名称，入库量（单位：吨），入库车数，矿发（单位：吨），前库存量（单位：吨），出库量，出库车数，总库存。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、查询结果支持导出，导出结果按筛选条件过滤。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、默认展示租户下的库存，默认时间从昨日00：00至今日00：00。</w:t>
      </w:r>
    </w:p>
    <w:p>
      <w:pPr>
        <w:pStyle w:val="5"/>
        <w:rPr>
          <w:rFonts w:hint="eastAsia" w:ascii="宋体" w:hAnsi="宋体" w:eastAsia="宋体" w:cs="宋体"/>
          <w:sz w:val="24"/>
          <w:szCs w:val="24"/>
        </w:rPr>
      </w:pPr>
      <w:bookmarkStart w:id="69" w:name="_Toc3984"/>
      <w:r>
        <w:rPr>
          <w:rFonts w:hint="eastAsia" w:ascii="宋体" w:hAnsi="宋体" w:eastAsia="宋体" w:cs="宋体"/>
          <w:sz w:val="24"/>
          <w:szCs w:val="24"/>
        </w:rPr>
        <w:t>5.1.9门禁管理</w:t>
      </w:r>
      <w:bookmarkEnd w:id="69"/>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功能描述：包括门禁管理，出入记录。</w:t>
      </w:r>
    </w:p>
    <w:p>
      <w:pPr>
        <w:pStyle w:val="6"/>
        <w:rPr>
          <w:rFonts w:hint="eastAsia" w:ascii="宋体" w:hAnsi="宋体" w:eastAsia="宋体" w:cs="宋体"/>
          <w:sz w:val="24"/>
          <w:szCs w:val="24"/>
        </w:rPr>
      </w:pPr>
      <w:r>
        <w:rPr>
          <w:rFonts w:hint="eastAsia" w:ascii="宋体" w:hAnsi="宋体" w:eastAsia="宋体" w:cs="宋体"/>
          <w:sz w:val="24"/>
          <w:szCs w:val="24"/>
        </w:rPr>
        <w:t>5.1.9.1 门禁管理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1、对出入场内的车辆进行管理。除了装、卸货车辆（走磅上道闸），还有员工车辆，作业车（铲车），摩托车，电瓶车，三轮车等，有的有车牌，有的没有车牌。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2、能录入系统的提前录入。没车牌的比较宽的车人工抬杆进出，有车牌的联系磅房录入后进出。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3、门禁系统支持时效设置，有时效性，用户自己灵活设置，精确到分钟。</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4、门禁两侧留出人行通道，一米左右（非功能性）。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5、页面操作按钮：重连抓拍相机，重连电气柜，放行。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6、门禁管理列表所需字段：车牌号，车辆类型（员工车辆，访客车辆，场内公车，过磅车辆），业务类型（装货，卸货），场内联系人，进场时间，出场时间。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过磅车辆：走磅上道闸的车辆统一归为过磅车辆。只有过磅车辆才存在“业务类型”。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7、实时显示当前场内总车数，搜索结果按筛选条件过滤。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8、查询条件：车牌号，姓名，时间，入场模式（摄像头识别，磅房过磅），业务类型（装货，卸货），时间。</w:t>
      </w:r>
    </w:p>
    <w:p>
      <w:pPr>
        <w:pStyle w:val="6"/>
        <w:rPr>
          <w:rFonts w:hint="eastAsia" w:ascii="宋体" w:hAnsi="宋体" w:eastAsia="宋体" w:cs="宋体"/>
          <w:sz w:val="24"/>
          <w:szCs w:val="24"/>
        </w:rPr>
      </w:pPr>
      <w:r>
        <w:rPr>
          <w:rFonts w:hint="eastAsia" w:ascii="宋体" w:hAnsi="宋体" w:eastAsia="宋体" w:cs="宋体"/>
          <w:sz w:val="24"/>
          <w:szCs w:val="24"/>
        </w:rPr>
        <w:t>5.1.9.2 出入记录</w:t>
      </w:r>
    </w:p>
    <w:p>
      <w:pPr>
        <w:spacing w:line="360" w:lineRule="auto"/>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 xml:space="preserve"> 出入记录查询条件：车牌号/姓名/备注，业务类型（收货，发货），入场模式（人工录入，摄像头识别，磅房过磅），时间类型（装卸货时间，入场时间），时间。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出入记录列表所需字段：车牌号，车辆类型（员工车辆，访客车辆，场内公车，过磅车辆），业务类型（装货，卸货），入场模式（摄像头识别，磅房过磅），进场时间，出场时间，备注。</w:t>
      </w:r>
    </w:p>
    <w:p>
      <w:pPr>
        <w:pStyle w:val="5"/>
        <w:rPr>
          <w:rFonts w:hint="eastAsia" w:ascii="宋体" w:hAnsi="宋体" w:eastAsia="宋体" w:cs="宋体"/>
          <w:sz w:val="24"/>
          <w:szCs w:val="24"/>
        </w:rPr>
      </w:pPr>
      <w:bookmarkStart w:id="70" w:name="_Toc13133"/>
      <w:r>
        <w:rPr>
          <w:rFonts w:hint="eastAsia" w:ascii="宋体" w:hAnsi="宋体" w:eastAsia="宋体" w:cs="宋体"/>
          <w:sz w:val="24"/>
          <w:szCs w:val="24"/>
        </w:rPr>
        <w:t>5.1.10系统设置</w:t>
      </w:r>
      <w:bookmarkEnd w:id="7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功能描述：仪表配置，预警规则配置，权限管理</w:t>
      </w:r>
    </w:p>
    <w:p>
      <w:pPr>
        <w:pStyle w:val="6"/>
        <w:rPr>
          <w:rFonts w:hint="eastAsia" w:ascii="宋体" w:hAnsi="宋体" w:eastAsia="宋体" w:cs="宋体"/>
          <w:sz w:val="24"/>
          <w:szCs w:val="24"/>
        </w:rPr>
      </w:pPr>
      <w:r>
        <w:rPr>
          <w:rFonts w:hint="eastAsia" w:ascii="宋体" w:hAnsi="宋体" w:eastAsia="宋体" w:cs="宋体"/>
          <w:sz w:val="24"/>
          <w:szCs w:val="24"/>
        </w:rPr>
        <w:t>5.1.10.1仪表配置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仪表配置列表所需字段：仪表名称，所属租户，IP地址，串口号，波特率，校验位，停止位，仪表单位，默认状态，仪表状态。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操作方面：支持编辑，启用/禁用。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由于仪表比较固定，所以由后台写死，不可新增，</w:t>
      </w:r>
      <w:r>
        <w:rPr>
          <w:rFonts w:hint="eastAsia" w:ascii="宋体" w:hAnsi="宋体" w:eastAsia="宋体" w:cs="宋体"/>
          <w:sz w:val="24"/>
          <w:szCs w:val="24"/>
          <w:lang w:eastAsia="zh-CN"/>
        </w:rPr>
        <w:t>中泰</w:t>
      </w:r>
      <w:r>
        <w:rPr>
          <w:rFonts w:hint="eastAsia" w:ascii="宋体" w:hAnsi="宋体" w:eastAsia="宋体" w:cs="宋体"/>
          <w:sz w:val="24"/>
          <w:szCs w:val="24"/>
        </w:rPr>
        <w:t>目前有4条磅在用，洗煤厂2条，站台3条（当前1条不可用）。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编辑仪表时，这些字段中：仪表名称，所属租户，IP地址，串口号，波特率，校验位，停止位，仪表单位，默认状态，仪表状态。除了所属租户和默认状态非必填，其余均为必填项。</w:t>
      </w:r>
    </w:p>
    <w:p>
      <w:pPr>
        <w:pStyle w:val="6"/>
        <w:rPr>
          <w:rFonts w:hint="eastAsia" w:ascii="宋体" w:hAnsi="宋体" w:eastAsia="宋体" w:cs="宋体"/>
          <w:sz w:val="24"/>
          <w:szCs w:val="24"/>
        </w:rPr>
      </w:pPr>
      <w:r>
        <w:rPr>
          <w:rFonts w:hint="eastAsia" w:ascii="宋体" w:hAnsi="宋体" w:eastAsia="宋体" w:cs="宋体"/>
          <w:sz w:val="24"/>
          <w:szCs w:val="24"/>
        </w:rPr>
        <w:t>5.1.10.2预警规则配置（全局）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1、皮重：第n次过磅时，与前n-1次的皮重平均值做差值，设置最大允许差值，单位吨，保留小数点后2位。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2、时间：皮重时间-毛重时间，超过多少min预警。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3、如果是新车，第一次过皮时，通过两种方式去进行限制：（1）所有车辆，设置一个上限，净重超过多少就预警，该数值用户可以自定义（2）根据范围进行限制，设置毛重范围：XX-XX，净重范围：XX-XX。</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系统中记录了车辆信息后，后面的就按平均值计算。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4、优先级：先吨位，再时间。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超过预警值时，道闸无法自动打开，语音提醒，LED文字提示，必须联系磅房人员进行处理。</w:t>
      </w:r>
    </w:p>
    <w:p>
      <w:pPr>
        <w:pStyle w:val="5"/>
        <w:rPr>
          <w:rFonts w:hint="eastAsia" w:ascii="宋体" w:hAnsi="宋体" w:eastAsia="宋体" w:cs="宋体"/>
          <w:sz w:val="24"/>
          <w:szCs w:val="24"/>
        </w:rPr>
      </w:pPr>
      <w:bookmarkStart w:id="71" w:name="_Toc26215"/>
      <w:r>
        <w:rPr>
          <w:rFonts w:hint="eastAsia" w:ascii="宋体" w:hAnsi="宋体" w:eastAsia="宋体" w:cs="宋体"/>
          <w:sz w:val="24"/>
          <w:szCs w:val="24"/>
        </w:rPr>
        <w:t>5.1.11权限管理</w:t>
      </w:r>
      <w:bookmarkEnd w:id="7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功能描述：根据人员划分权限。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管理员新建用户，根据需要为用户分配权限。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权限管理列表所需字段：用户姓名，手机号，是否停用，创建人，创建时间。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操作方面：设置权限。采用树形结构展示菜单，具体到根目录页面的操作按钮，以及新增，修改，删除，查看的权限。</w:t>
      </w:r>
    </w:p>
    <w:p>
      <w:pPr>
        <w:pStyle w:val="5"/>
        <w:rPr>
          <w:rFonts w:hint="eastAsia" w:ascii="宋体" w:hAnsi="宋体" w:eastAsia="宋体" w:cs="宋体"/>
          <w:sz w:val="24"/>
          <w:szCs w:val="24"/>
        </w:rPr>
      </w:pPr>
      <w:bookmarkStart w:id="72" w:name="_Toc16214"/>
      <w:r>
        <w:rPr>
          <w:rFonts w:hint="eastAsia" w:ascii="宋体" w:hAnsi="宋体" w:eastAsia="宋体" w:cs="宋体"/>
          <w:sz w:val="24"/>
          <w:szCs w:val="24"/>
        </w:rPr>
        <w:t>5.1.12基础数据</w:t>
      </w:r>
      <w:bookmarkEnd w:id="72"/>
    </w:p>
    <w:p>
      <w:pPr>
        <w:rPr>
          <w:rFonts w:hint="eastAsia" w:ascii="宋体" w:hAnsi="宋体" w:eastAsia="宋体" w:cs="宋体"/>
          <w:sz w:val="24"/>
          <w:szCs w:val="24"/>
        </w:rPr>
      </w:pPr>
      <w:r>
        <w:rPr>
          <w:rFonts w:hint="eastAsia" w:ascii="宋体" w:hAnsi="宋体" w:eastAsia="宋体" w:cs="宋体"/>
          <w:sz w:val="24"/>
          <w:szCs w:val="24"/>
        </w:rPr>
        <w:t>功能描述：包括货物管理，收发货单位管理，车辆管理，司机银行卡管理。</w:t>
      </w:r>
    </w:p>
    <w:p>
      <w:pPr>
        <w:pStyle w:val="6"/>
        <w:rPr>
          <w:rFonts w:hint="eastAsia" w:ascii="宋体" w:hAnsi="宋体" w:eastAsia="宋体" w:cs="宋体"/>
          <w:sz w:val="24"/>
          <w:szCs w:val="24"/>
        </w:rPr>
      </w:pPr>
      <w:r>
        <w:rPr>
          <w:rFonts w:hint="eastAsia" w:ascii="宋体" w:hAnsi="宋体" w:eastAsia="宋体" w:cs="宋体"/>
          <w:sz w:val="24"/>
          <w:szCs w:val="24"/>
        </w:rPr>
        <w:t>5.1.12.1 货物管理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列表支持按照货物名称，类型（采购货物，销售货物），货物种类（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，其他），所属租户，进行查询。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操作方面：支持新增，修改，删除（需要管理员权限才能删除，无权限时该按钮置灰）。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新增所需字段：货物种类（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，其他。默认</w:t>
      </w:r>
      <w:r>
        <w:rPr>
          <w:rFonts w:hint="eastAsia" w:ascii="宋体" w:hAnsi="宋体" w:eastAsia="宋体" w:cs="宋体"/>
          <w:sz w:val="24"/>
          <w:szCs w:val="24"/>
          <w:lang w:eastAsia="zh-CN"/>
        </w:rPr>
        <w:t>货种</w:t>
      </w:r>
      <w:r>
        <w:rPr>
          <w:rFonts w:hint="eastAsia" w:ascii="宋体" w:hAnsi="宋体" w:eastAsia="宋体" w:cs="宋体"/>
          <w:sz w:val="24"/>
          <w:szCs w:val="24"/>
        </w:rPr>
        <w:t>），货物名称，类型（采购货物，销售货物），所属租户。均为必填。选择货物种类为</w:t>
      </w:r>
      <w:r>
        <w:rPr>
          <w:rFonts w:hint="eastAsia" w:ascii="宋体" w:hAnsi="宋体" w:eastAsia="宋体" w:cs="宋体"/>
          <w:sz w:val="24"/>
          <w:szCs w:val="24"/>
          <w:lang w:eastAsia="zh-CN"/>
        </w:rPr>
        <w:t>货种</w:t>
      </w:r>
      <w:r>
        <w:rPr>
          <w:rFonts w:hint="eastAsia" w:ascii="宋体" w:hAnsi="宋体" w:eastAsia="宋体" w:cs="宋体"/>
          <w:sz w:val="24"/>
          <w:szCs w:val="24"/>
        </w:rPr>
        <w:t>时，要多加一个字段，是否含水（是，否），必选。选择其他时，不需要该字段。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货物管理列表所需字段：货物名称，类型，货物种类（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，其他），所属租户，创建人，创建时间，更新人，更新时间。</w:t>
      </w:r>
    </w:p>
    <w:p>
      <w:pPr>
        <w:pStyle w:val="6"/>
        <w:rPr>
          <w:rFonts w:hint="eastAsia" w:ascii="宋体" w:hAnsi="宋体" w:eastAsia="宋体" w:cs="宋体"/>
          <w:sz w:val="24"/>
          <w:szCs w:val="24"/>
        </w:rPr>
      </w:pPr>
      <w:r>
        <w:rPr>
          <w:rFonts w:hint="eastAsia" w:ascii="宋体" w:hAnsi="宋体" w:eastAsia="宋体" w:cs="宋体"/>
          <w:sz w:val="24"/>
          <w:szCs w:val="24"/>
        </w:rPr>
        <w:t>5.1.12.2 收发货单位管理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支持按照单位名称，所属租户，收发类型（收货单位，发货单位）进行查询。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操作方面：支持新增，修改，删除（需要管理员权限才能删除，无权限该按钮置灰）。新增所需字段：单位名称，收发类型，所属租户。均为必填项。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列表所需字段：单位名称，收发类型（收货单位，发货单位），所属租户，创建人，更新人，创建时间，更新时间。</w:t>
      </w:r>
    </w:p>
    <w:p>
      <w:pPr>
        <w:pStyle w:val="6"/>
        <w:rPr>
          <w:rFonts w:hint="eastAsia" w:ascii="宋体" w:hAnsi="宋体" w:eastAsia="宋体" w:cs="宋体"/>
          <w:sz w:val="24"/>
          <w:szCs w:val="24"/>
        </w:rPr>
      </w:pPr>
      <w:r>
        <w:rPr>
          <w:rFonts w:hint="eastAsia" w:ascii="宋体" w:hAnsi="宋体" w:eastAsia="宋体" w:cs="宋体"/>
          <w:sz w:val="24"/>
          <w:szCs w:val="24"/>
        </w:rPr>
        <w:t>5.1.12.3 车辆管理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支持按照车牌号，所属租户进行搜索。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车牌管理列表所需字段：车牌号，状态（白名单，黑名单，临时通行，临时通行过期），车辆类型（员工车辆，访客车辆，场内公车，过磅车辆），所属租户，创建人，创建时间，更新人，更新时间。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操作方面：支持新增，修改，删除，拉黑，拉白，设置有效时限（选择一条数据，设置时限，精确到min，格式：YYYY－MM－DD HH:MM，从XX（此刻）到XX）。在时限范围内，状态为临时通行，车辆可正常通行，超出时限后，状态变为临时通行过期，无法通行，需联系磅房人员。白名单可一直出入，黑名单不可出入。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新增车辆所需基本字段：车牌号，车辆类型（员工车辆，访客车辆，场内公车，过磅车辆），司机姓名，司机手机号，所属租户。其中车牌号、车辆类型必填，其余非必填。当车辆类型选择访客车辆时，增加一个字段：场内联系人（必填）。</w:t>
      </w:r>
    </w:p>
    <w:p>
      <w:pPr>
        <w:pStyle w:val="6"/>
        <w:rPr>
          <w:rFonts w:hint="eastAsia" w:ascii="宋体" w:hAnsi="宋体" w:eastAsia="宋体" w:cs="宋体"/>
          <w:sz w:val="24"/>
          <w:szCs w:val="24"/>
        </w:rPr>
      </w:pPr>
      <w:r>
        <w:rPr>
          <w:rFonts w:hint="eastAsia" w:ascii="宋体" w:hAnsi="宋体" w:eastAsia="宋体" w:cs="宋体"/>
          <w:sz w:val="24"/>
          <w:szCs w:val="24"/>
        </w:rPr>
        <w:t>5.1.12.4 司机银行卡管理</w:t>
      </w:r>
    </w:p>
    <w:p>
      <w:pPr>
        <w:spacing w:line="360" w:lineRule="auto"/>
        <w:rPr>
          <w:rFonts w:hint="eastAsia" w:ascii="宋体" w:hAnsi="宋体" w:eastAsia="宋体" w:cs="宋体"/>
          <w:sz w:val="24"/>
          <w:szCs w:val="24"/>
        </w:rPr>
      </w:pPr>
      <w:r>
        <w:rPr>
          <w:rFonts w:hint="eastAsia" w:ascii="宋体" w:hAnsi="宋体" w:eastAsia="宋体" w:cs="宋体"/>
          <w:sz w:val="24"/>
          <w:szCs w:val="24"/>
        </w:rPr>
        <w:t>管理有运费结算往来的司机银行卡信息，供财务查看（仅查看，不操作），数据来源于司机小程序录入。</w:t>
      </w:r>
    </w:p>
    <w:p>
      <w:pPr>
        <w:spacing w:line="360" w:lineRule="auto"/>
        <w:rPr>
          <w:rFonts w:hint="eastAsia" w:ascii="宋体" w:hAnsi="宋体" w:eastAsia="宋体" w:cs="宋体"/>
          <w:sz w:val="24"/>
          <w:szCs w:val="24"/>
        </w:rPr>
      </w:pPr>
      <w:r>
        <w:rPr>
          <w:rFonts w:hint="eastAsia" w:ascii="宋体" w:hAnsi="宋体" w:eastAsia="宋体" w:cs="宋体"/>
          <w:sz w:val="24"/>
          <w:szCs w:val="24"/>
        </w:rPr>
        <w:t>银行卡管理所需字段：司机姓名，银行卡号，开户行，司机手机号。支持按照司机姓名和银行卡号搜索。</w:t>
      </w:r>
    </w:p>
    <w:p>
      <w:pPr>
        <w:pStyle w:val="4"/>
        <w:rPr>
          <w:rFonts w:hint="eastAsia" w:ascii="宋体" w:hAnsi="宋体" w:eastAsia="宋体" w:cs="宋体"/>
          <w:sz w:val="24"/>
          <w:szCs w:val="24"/>
        </w:rPr>
      </w:pPr>
      <w:bookmarkStart w:id="73" w:name="_Toc13893"/>
      <w:r>
        <w:rPr>
          <w:rFonts w:hint="eastAsia" w:ascii="宋体" w:hAnsi="宋体" w:eastAsia="宋体" w:cs="宋体"/>
          <w:sz w:val="24"/>
          <w:szCs w:val="24"/>
        </w:rPr>
        <w:t>5.2管理端小程序</w:t>
      </w:r>
      <w:bookmarkEnd w:id="73"/>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管理端小程序的账号体系与网页端-用户管理一致，</w:t>
      </w:r>
      <w:r>
        <w:rPr>
          <w:rFonts w:hint="eastAsia" w:ascii="宋体" w:hAnsi="宋体" w:eastAsia="宋体" w:cs="宋体"/>
          <w:sz w:val="24"/>
          <w:szCs w:val="24"/>
          <w:lang w:eastAsia="zh-CN"/>
        </w:rPr>
        <w:t>中泰</w:t>
      </w:r>
      <w:r>
        <w:rPr>
          <w:rFonts w:hint="eastAsia" w:ascii="宋体" w:hAnsi="宋体" w:eastAsia="宋体" w:cs="宋体"/>
          <w:sz w:val="24"/>
          <w:szCs w:val="24"/>
        </w:rPr>
        <w:t>租户下的账号，有相应权限的即可通过账号/密码进行登录。</w:t>
      </w:r>
    </w:p>
    <w:p>
      <w:pPr>
        <w:pStyle w:val="5"/>
        <w:rPr>
          <w:rFonts w:hint="eastAsia" w:ascii="宋体" w:hAnsi="宋体" w:eastAsia="宋体" w:cs="宋体"/>
          <w:sz w:val="24"/>
          <w:szCs w:val="24"/>
        </w:rPr>
      </w:pPr>
      <w:bookmarkStart w:id="74" w:name="_Toc750"/>
      <w:r>
        <w:rPr>
          <w:rFonts w:hint="eastAsia" w:ascii="宋体" w:hAnsi="宋体" w:eastAsia="宋体" w:cs="宋体"/>
          <w:sz w:val="24"/>
          <w:szCs w:val="24"/>
        </w:rPr>
        <w:t>5.2.1 派车</w:t>
      </w:r>
      <w:bookmarkEnd w:id="7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功能描述：此派车功能与电脑端一致，可进行销售派车，采购派车。</w:t>
      </w:r>
    </w:p>
    <w:p>
      <w:pPr>
        <w:pStyle w:val="2"/>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1、销售派车所需字段：收货单位，发货单位，货物名称，车牌号，司机手机号，司机姓名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2、采购派车所需字段：收货单位，发货单位，货物名称，车牌号，司机手机号，司机姓名</w:t>
      </w:r>
    </w:p>
    <w:p>
      <w:pPr>
        <w:pStyle w:val="5"/>
        <w:rPr>
          <w:rFonts w:hint="eastAsia" w:ascii="宋体" w:hAnsi="宋体" w:eastAsia="宋体" w:cs="宋体"/>
          <w:sz w:val="24"/>
          <w:szCs w:val="24"/>
        </w:rPr>
      </w:pPr>
      <w:bookmarkStart w:id="75" w:name="_Toc9345"/>
      <w:r>
        <w:rPr>
          <w:rFonts w:hint="eastAsia" w:ascii="宋体" w:hAnsi="宋体" w:eastAsia="宋体" w:cs="宋体"/>
          <w:sz w:val="24"/>
          <w:szCs w:val="24"/>
        </w:rPr>
        <w:t>5.2.2 统计信息</w:t>
      </w:r>
      <w:bookmarkEnd w:id="7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（1）可按企业名称搜索，从日/月/年三个时间维度统计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企业采购统计：以供应商为主体，按货物名称，统计车数，矿发吨数，实收吨数。汇总总车数，总矿发吨数，总实收吨数。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企业销售统计：以客户为主体，按货物名称，统计车数，发出吨数。汇总总车数，总发出吨数。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（2）可按货物名称搜索，从日/月/年三个时间维度统计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商品采购统计：以货物品名为主体，按供应商名称，统计车数，矿发吨数，实际吨数。汇总总车数，总矿发吨数，总实收吨数。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商品销售统计：以货物品名为主体，按客户名称，统计车数，矿发吨数，实际吨数。汇总总车数，总发出吨数。</w:t>
      </w:r>
    </w:p>
    <w:p>
      <w:pPr>
        <w:pStyle w:val="4"/>
        <w:rPr>
          <w:rFonts w:hint="eastAsia" w:ascii="宋体" w:hAnsi="宋体" w:eastAsia="宋体" w:cs="宋体"/>
          <w:sz w:val="24"/>
          <w:szCs w:val="24"/>
        </w:rPr>
      </w:pPr>
      <w:bookmarkStart w:id="76" w:name="_Toc5458"/>
      <w:r>
        <w:rPr>
          <w:rFonts w:hint="eastAsia" w:ascii="宋体" w:hAnsi="宋体" w:eastAsia="宋体" w:cs="宋体"/>
          <w:sz w:val="24"/>
          <w:szCs w:val="24"/>
        </w:rPr>
        <w:t>5.3司机端小程序</w:t>
      </w:r>
      <w:bookmarkEnd w:id="76"/>
    </w:p>
    <w:p>
      <w:pPr>
        <w:pStyle w:val="5"/>
        <w:rPr>
          <w:rFonts w:hint="eastAsia" w:ascii="宋体" w:hAnsi="宋体" w:eastAsia="宋体" w:cs="宋体"/>
          <w:sz w:val="24"/>
          <w:szCs w:val="24"/>
        </w:rPr>
      </w:pPr>
      <w:bookmarkStart w:id="77" w:name="_Toc15797"/>
      <w:r>
        <w:rPr>
          <w:rFonts w:hint="eastAsia" w:ascii="宋体" w:hAnsi="宋体" w:eastAsia="宋体" w:cs="宋体"/>
          <w:sz w:val="24"/>
          <w:szCs w:val="24"/>
        </w:rPr>
        <w:t>5.3.1 注册/登录</w:t>
      </w:r>
      <w:bookmarkEnd w:id="7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授权微信一键登录。</w:t>
      </w:r>
    </w:p>
    <w:p>
      <w:pPr>
        <w:pStyle w:val="5"/>
        <w:rPr>
          <w:rFonts w:hint="eastAsia" w:ascii="宋体" w:hAnsi="宋体" w:eastAsia="宋体" w:cs="宋体"/>
          <w:sz w:val="24"/>
          <w:szCs w:val="24"/>
        </w:rPr>
      </w:pPr>
      <w:bookmarkStart w:id="78" w:name="_Toc8629"/>
      <w:r>
        <w:rPr>
          <w:rFonts w:hint="eastAsia" w:ascii="宋体" w:hAnsi="宋体" w:eastAsia="宋体" w:cs="宋体"/>
          <w:sz w:val="24"/>
          <w:szCs w:val="24"/>
        </w:rPr>
        <w:t>5.3.2 首页</w:t>
      </w:r>
      <w:bookmarkEnd w:id="7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填写运单：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（1）我要装货：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发货单位，收货单位,货物种类，货物名称，提示车牌号是否有变更，有变更则跳转到车牌号管理页面进行修改。均为必填项。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(2)我要卸货：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发货单位，收货单位，货物种类（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，其他），货物名称，矿发净重，矿发磅单拍照上传，均为必填项。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提示车牌号是否有变更，有变更则跳转到车牌号管理页面进行修改。</w:t>
      </w:r>
    </w:p>
    <w:p>
      <w:pPr>
        <w:pStyle w:val="5"/>
        <w:rPr>
          <w:rFonts w:hint="eastAsia" w:ascii="宋体" w:hAnsi="宋体" w:eastAsia="宋体" w:cs="宋体"/>
          <w:sz w:val="24"/>
          <w:szCs w:val="24"/>
        </w:rPr>
      </w:pPr>
      <w:bookmarkStart w:id="79" w:name="_Toc13609"/>
      <w:r>
        <w:rPr>
          <w:rFonts w:hint="eastAsia" w:ascii="宋体" w:hAnsi="宋体" w:eastAsia="宋体" w:cs="宋体"/>
          <w:sz w:val="24"/>
          <w:szCs w:val="24"/>
        </w:rPr>
        <w:t>5.3.3 个人中心</w:t>
      </w:r>
      <w:bookmarkEnd w:id="79"/>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（1）个人信息：姓名，手机号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（2）车牌号管理（支持新增、删除车牌号，设置默认车牌号）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（3）银行卡管理（录入开户行，卡号，持卡人姓名，手机号。同步后台，供财务结算运费使用）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（4）历史运单记录，可按运单号，收、发货单位，日期进行查询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（5）退出登录按钮。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备注：银行卡不做真实性校验，银行卡信息支持修改和删除，但只能存在一条。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由于司机的车牌号不固定，变动性较大，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1、注册过的司机每次进场前确认运单时，要确认车牌号是否变化，车牌号继承上一次的，有变化时再修改。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2、司机在小程序添加车辆，更换车牌号，相机识别的车牌号，跟司机操作时绑定的车牌做校验。</w:t>
      </w:r>
    </w:p>
    <w:p>
      <w:pPr>
        <w:pStyle w:val="4"/>
        <w:rPr>
          <w:rFonts w:hint="eastAsia" w:ascii="宋体" w:hAnsi="宋体" w:eastAsia="宋体" w:cs="宋体"/>
          <w:sz w:val="24"/>
          <w:szCs w:val="24"/>
        </w:rPr>
      </w:pPr>
      <w:bookmarkStart w:id="80" w:name="_Toc30622"/>
      <w:r>
        <w:rPr>
          <w:rFonts w:hint="eastAsia" w:ascii="宋体" w:hAnsi="宋体" w:eastAsia="宋体" w:cs="宋体"/>
          <w:sz w:val="24"/>
          <w:szCs w:val="24"/>
        </w:rPr>
        <w:t>5.4 客户小程序</w:t>
      </w:r>
      <w:bookmarkEnd w:id="8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客户小程序仅用于派车。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客户派车填写字段：货物名称，收货单位，发货单位，车牌号，司机姓名，司机手机号。其中司机姓名和手机号非必填，其余均为必填。</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客户小程序的账号与派车用户管理中一致。</w:t>
      </w:r>
    </w:p>
    <w:p>
      <w:pPr>
        <w:pStyle w:val="4"/>
        <w:rPr>
          <w:rFonts w:hint="eastAsia" w:ascii="宋体" w:hAnsi="宋体" w:eastAsia="宋体" w:cs="宋体"/>
          <w:sz w:val="24"/>
          <w:szCs w:val="24"/>
        </w:rPr>
      </w:pPr>
      <w:bookmarkStart w:id="81" w:name="_Toc18492"/>
      <w:r>
        <w:rPr>
          <w:rFonts w:hint="eastAsia" w:ascii="宋体" w:hAnsi="宋体" w:eastAsia="宋体" w:cs="宋体"/>
          <w:sz w:val="24"/>
          <w:szCs w:val="24"/>
        </w:rPr>
        <w:t>5.5 语音系统</w:t>
      </w:r>
      <w:bookmarkEnd w:id="81"/>
    </w:p>
    <w:p>
      <w:pPr>
        <w:spacing w:line="276" w:lineRule="auto"/>
        <w:rPr>
          <w:rFonts w:hint="eastAsia" w:ascii="宋体" w:hAnsi="宋体" w:eastAsia="宋体" w:cs="宋体"/>
          <w:sz w:val="24"/>
          <w:szCs w:val="24"/>
        </w:rPr>
      </w:pPr>
      <w:r>
        <w:rPr>
          <w:rFonts w:hint="eastAsia" w:ascii="宋体" w:hAnsi="宋体" w:eastAsia="宋体" w:cs="宋体"/>
          <w:sz w:val="24"/>
          <w:szCs w:val="24"/>
        </w:rPr>
        <w:t>提示内容：</w:t>
      </w:r>
    </w:p>
    <w:p>
      <w:pPr>
        <w:pStyle w:val="34"/>
        <w:numPr>
          <w:ilvl w:val="0"/>
          <w:numId w:val="6"/>
        </w:numPr>
        <w:spacing w:line="276" w:lineRule="auto"/>
        <w:ind w:firstLineChars="0"/>
        <w:rPr>
          <w:rFonts w:hint="eastAsia" w:ascii="宋体" w:hAnsi="宋体" w:eastAsia="宋体" w:cs="宋体"/>
          <w:sz w:val="24"/>
          <w:szCs w:val="24"/>
        </w:rPr>
      </w:pPr>
      <w:r>
        <w:rPr>
          <w:rFonts w:hint="eastAsia" w:ascii="宋体" w:hAnsi="宋体" w:eastAsia="宋体" w:cs="宋体"/>
          <w:sz w:val="24"/>
          <w:szCs w:val="24"/>
        </w:rPr>
        <w:t>请上磅</w:t>
      </w:r>
    </w:p>
    <w:p>
      <w:pPr>
        <w:pStyle w:val="34"/>
        <w:numPr>
          <w:ilvl w:val="0"/>
          <w:numId w:val="6"/>
        </w:numPr>
        <w:spacing w:line="276" w:lineRule="auto"/>
        <w:ind w:firstLineChars="0"/>
        <w:rPr>
          <w:rFonts w:hint="eastAsia" w:ascii="宋体" w:hAnsi="宋体" w:eastAsia="宋体" w:cs="宋体"/>
          <w:sz w:val="24"/>
          <w:szCs w:val="24"/>
        </w:rPr>
      </w:pPr>
      <w:r>
        <w:rPr>
          <w:rFonts w:hint="eastAsia" w:ascii="宋体" w:hAnsi="宋体" w:eastAsia="宋体" w:cs="宋体"/>
          <w:sz w:val="24"/>
          <w:szCs w:val="24"/>
        </w:rPr>
        <w:t>称重完成，请下磅</w:t>
      </w:r>
    </w:p>
    <w:p>
      <w:pPr>
        <w:pStyle w:val="34"/>
        <w:numPr>
          <w:ilvl w:val="0"/>
          <w:numId w:val="6"/>
        </w:numPr>
        <w:spacing w:line="276" w:lineRule="auto"/>
        <w:ind w:firstLineChars="0"/>
        <w:rPr>
          <w:rFonts w:hint="eastAsia" w:ascii="宋体" w:hAnsi="宋体" w:eastAsia="宋体" w:cs="宋体"/>
          <w:sz w:val="24"/>
          <w:szCs w:val="24"/>
        </w:rPr>
      </w:pPr>
      <w:r>
        <w:rPr>
          <w:rFonts w:hint="eastAsia" w:ascii="宋体" w:hAnsi="宋体" w:eastAsia="宋体" w:cs="宋体"/>
          <w:sz w:val="24"/>
          <w:szCs w:val="24"/>
        </w:rPr>
        <w:t>皮重不对，请联系磅房人员</w:t>
      </w:r>
    </w:p>
    <w:p>
      <w:pPr>
        <w:rPr>
          <w:rFonts w:hint="eastAsia" w:ascii="宋体" w:hAnsi="宋体" w:eastAsia="宋体" w:cs="宋体"/>
          <w:sz w:val="24"/>
          <w:szCs w:val="24"/>
        </w:rPr>
      </w:pPr>
      <w:r>
        <w:rPr>
          <w:rFonts w:hint="eastAsia" w:ascii="宋体" w:hAnsi="宋体" w:eastAsia="宋体" w:cs="宋体"/>
          <w:sz w:val="24"/>
          <w:szCs w:val="24"/>
        </w:rPr>
        <w:t>4、过磅超时，请联系磅房人员</w:t>
      </w:r>
    </w:p>
    <w:p>
      <w:pPr>
        <w:pStyle w:val="4"/>
        <w:rPr>
          <w:rFonts w:hint="eastAsia" w:ascii="宋体" w:hAnsi="宋体" w:eastAsia="宋体" w:cs="宋体"/>
          <w:sz w:val="24"/>
          <w:szCs w:val="24"/>
        </w:rPr>
      </w:pPr>
      <w:bookmarkStart w:id="82" w:name="_Toc8986"/>
      <w:r>
        <w:rPr>
          <w:rFonts w:hint="eastAsia" w:ascii="宋体" w:hAnsi="宋体" w:eastAsia="宋体" w:cs="宋体"/>
          <w:sz w:val="24"/>
          <w:szCs w:val="24"/>
        </w:rPr>
        <w:t>5.6 LED系统</w:t>
      </w:r>
      <w:bookmarkEnd w:id="82"/>
    </w:p>
    <w:p>
      <w:pPr>
        <w:spacing w:line="360" w:lineRule="auto"/>
        <w:rPr>
          <w:rFonts w:hint="eastAsia" w:ascii="宋体" w:hAnsi="宋体" w:eastAsia="宋体" w:cs="宋体"/>
          <w:sz w:val="24"/>
          <w:szCs w:val="24"/>
        </w:rPr>
      </w:pPr>
      <w:r>
        <w:rPr>
          <w:rFonts w:hint="eastAsia" w:ascii="宋体" w:hAnsi="宋体" w:eastAsia="宋体" w:cs="宋体"/>
          <w:sz w:val="24"/>
          <w:szCs w:val="24"/>
        </w:rPr>
        <w:t>过磅时显示：车牌号，重量（单位：吨，精确到小数点后2位）</w:t>
      </w:r>
    </w:p>
    <w:p>
      <w:pPr>
        <w:spacing w:line="360" w:lineRule="auto"/>
        <w:rPr>
          <w:rFonts w:hint="eastAsia" w:ascii="宋体" w:hAnsi="宋体" w:eastAsia="宋体" w:cs="宋体"/>
          <w:sz w:val="24"/>
          <w:szCs w:val="24"/>
        </w:rPr>
      </w:pPr>
      <w:r>
        <w:rPr>
          <w:rFonts w:hint="eastAsia" w:ascii="宋体" w:hAnsi="宋体" w:eastAsia="宋体" w:cs="宋体"/>
          <w:sz w:val="24"/>
          <w:szCs w:val="24"/>
        </w:rPr>
        <w:t>皮重预警时显示：皮重不对，请联系磅房人员131XXXX2345</w:t>
      </w:r>
    </w:p>
    <w:p>
      <w:pPr>
        <w:spacing w:line="360" w:lineRule="auto"/>
        <w:rPr>
          <w:rFonts w:hint="eastAsia" w:ascii="宋体" w:hAnsi="宋体" w:eastAsia="宋体" w:cs="宋体"/>
          <w:sz w:val="24"/>
          <w:szCs w:val="24"/>
        </w:rPr>
      </w:pPr>
      <w:r>
        <w:rPr>
          <w:rFonts w:hint="eastAsia" w:ascii="宋体" w:hAnsi="宋体" w:eastAsia="宋体" w:cs="宋体"/>
          <w:sz w:val="24"/>
          <w:szCs w:val="24"/>
        </w:rPr>
        <w:t>过磅超时显示：过磅超时，请联系磅房人员131XXXX2345</w:t>
      </w:r>
    </w:p>
    <w:p>
      <w:pPr>
        <w:pStyle w:val="4"/>
        <w:rPr>
          <w:rFonts w:hint="eastAsia" w:ascii="宋体" w:hAnsi="宋体" w:eastAsia="宋体" w:cs="宋体"/>
          <w:sz w:val="24"/>
          <w:szCs w:val="24"/>
        </w:rPr>
      </w:pPr>
      <w:bookmarkStart w:id="83" w:name="_Toc11849"/>
      <w:r>
        <w:rPr>
          <w:rFonts w:hint="eastAsia" w:ascii="宋体" w:hAnsi="宋体" w:eastAsia="宋体" w:cs="宋体"/>
          <w:sz w:val="24"/>
          <w:szCs w:val="24"/>
        </w:rPr>
        <w:t>5.7红绿灯系统</w:t>
      </w:r>
      <w:bookmarkEnd w:id="83"/>
    </w:p>
    <w:p>
      <w:pPr>
        <w:spacing w:line="360" w:lineRule="auto"/>
        <w:rPr>
          <w:rFonts w:hint="eastAsia" w:ascii="宋体" w:hAnsi="宋体" w:eastAsia="宋体" w:cs="宋体"/>
          <w:sz w:val="24"/>
          <w:szCs w:val="24"/>
        </w:rPr>
      </w:pPr>
      <w:r>
        <w:rPr>
          <w:rFonts w:hint="eastAsia" w:ascii="宋体" w:hAnsi="宋体" w:eastAsia="宋体" w:cs="宋体"/>
          <w:sz w:val="24"/>
          <w:szCs w:val="24"/>
        </w:rPr>
        <w:t>根据过磅状态，提示司机上、下磅，绿灯为可通行，红灯时不可通行。</w:t>
      </w:r>
    </w:p>
    <w:p>
      <w:pPr>
        <w:pStyle w:val="4"/>
        <w:rPr>
          <w:rFonts w:hint="eastAsia" w:ascii="宋体" w:hAnsi="宋体" w:eastAsia="宋体" w:cs="宋体"/>
          <w:sz w:val="24"/>
          <w:szCs w:val="24"/>
        </w:rPr>
      </w:pPr>
      <w:bookmarkStart w:id="84" w:name="_Toc29586"/>
      <w:r>
        <w:rPr>
          <w:rFonts w:hint="eastAsia" w:ascii="宋体" w:hAnsi="宋体" w:eastAsia="宋体" w:cs="宋体"/>
          <w:sz w:val="24"/>
          <w:szCs w:val="24"/>
        </w:rPr>
        <w:t>5.8 打印一体机系统</w:t>
      </w:r>
      <w:bookmarkEnd w:id="84"/>
    </w:p>
    <w:p>
      <w:pPr>
        <w:spacing w:line="360" w:lineRule="auto"/>
        <w:rPr>
          <w:rFonts w:hint="eastAsia" w:ascii="宋体" w:hAnsi="宋体" w:eastAsia="宋体" w:cs="宋体"/>
          <w:sz w:val="24"/>
          <w:szCs w:val="24"/>
        </w:rPr>
      </w:pPr>
      <w:r>
        <w:rPr>
          <w:rFonts w:hint="eastAsia" w:ascii="宋体" w:hAnsi="宋体" w:eastAsia="宋体" w:cs="宋体"/>
          <w:sz w:val="24"/>
          <w:szCs w:val="24"/>
        </w:rPr>
        <w:t>支持打印磅单，磅单样式如下：</w:t>
      </w:r>
    </w:p>
    <w:p>
      <w:pPr>
        <w:spacing w:line="360" w:lineRule="auto"/>
        <w:rPr>
          <w:rFonts w:hint="eastAsia" w:ascii="宋体" w:hAnsi="宋体" w:eastAsia="宋体" w:cs="宋体"/>
          <w:sz w:val="24"/>
          <w:szCs w:val="24"/>
        </w:rPr>
      </w:pPr>
      <w:r>
        <w:rPr>
          <w:rFonts w:hint="eastAsia" w:ascii="宋体" w:hAnsi="宋体" w:eastAsia="宋体" w:cs="宋体"/>
          <w:sz w:val="24"/>
          <w:szCs w:val="24"/>
        </w:rPr>
        <w:drawing>
          <wp:inline distT="0" distB="0" distL="0" distR="0">
            <wp:extent cx="4497705" cy="2054225"/>
            <wp:effectExtent l="0" t="0" r="17145"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97705" cy="2054225"/>
                    </a:xfrm>
                    <a:prstGeom prst="rect">
                      <a:avLst/>
                    </a:prstGeom>
                  </pic:spPr>
                </pic:pic>
              </a:graphicData>
            </a:graphic>
          </wp:inline>
        </w:drawing>
      </w:r>
    </w:p>
    <w:p>
      <w:pPr>
        <w:spacing w:line="360" w:lineRule="auto"/>
        <w:rPr>
          <w:rFonts w:hint="eastAsia" w:ascii="宋体" w:hAnsi="宋体" w:eastAsia="宋体" w:cs="宋体"/>
          <w:sz w:val="24"/>
          <w:szCs w:val="24"/>
        </w:rPr>
      </w:pPr>
      <w:r>
        <w:rPr>
          <w:rFonts w:hint="eastAsia" w:ascii="宋体" w:hAnsi="宋体" w:eastAsia="宋体" w:cs="宋体"/>
          <w:sz w:val="24"/>
          <w:szCs w:val="24"/>
        </w:rPr>
        <w:t>磅单展示内容：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抬头（宝丰县</w:t>
      </w:r>
      <w:r>
        <w:rPr>
          <w:rFonts w:hint="eastAsia" w:ascii="宋体" w:hAnsi="宋体" w:eastAsia="宋体" w:cs="宋体"/>
          <w:sz w:val="24"/>
          <w:szCs w:val="24"/>
          <w:lang w:eastAsia="zh-CN"/>
        </w:rPr>
        <w:t>中泰</w:t>
      </w:r>
      <w:r>
        <w:rPr>
          <w:rFonts w:hint="eastAsia" w:ascii="宋体" w:hAnsi="宋体" w:eastAsia="宋体" w:cs="宋体"/>
          <w:sz w:val="24"/>
          <w:szCs w:val="24"/>
        </w:rPr>
        <w:t>洗煤厂计量单）</w:t>
      </w:r>
    </w:p>
    <w:p>
      <w:pPr>
        <w:spacing w:line="360" w:lineRule="auto"/>
        <w:rPr>
          <w:rFonts w:hint="eastAsia" w:ascii="宋体" w:hAnsi="宋体" w:eastAsia="宋体" w:cs="宋体"/>
          <w:sz w:val="24"/>
          <w:szCs w:val="24"/>
        </w:rPr>
      </w:pPr>
      <w:r>
        <w:rPr>
          <w:rFonts w:hint="eastAsia" w:ascii="宋体" w:hAnsi="宋体" w:eastAsia="宋体" w:cs="宋体"/>
          <w:sz w:val="24"/>
          <w:szCs w:val="24"/>
        </w:rPr>
        <w:t>发货单位，收货单位，流水号。</w:t>
      </w:r>
    </w:p>
    <w:p>
      <w:pPr>
        <w:spacing w:line="360" w:lineRule="auto"/>
        <w:rPr>
          <w:rFonts w:hint="eastAsia" w:ascii="宋体" w:hAnsi="宋体" w:eastAsia="宋体" w:cs="宋体"/>
          <w:sz w:val="24"/>
          <w:szCs w:val="24"/>
        </w:rPr>
      </w:pPr>
      <w:r>
        <w:rPr>
          <w:rFonts w:hint="eastAsia" w:ascii="宋体" w:hAnsi="宋体" w:eastAsia="宋体" w:cs="宋体"/>
          <w:sz w:val="24"/>
          <w:szCs w:val="24"/>
        </w:rPr>
        <w:t>车配号，货物名称，毛重，皮重，净重，矿发净重，盈亏（格式：-.10表示亏损0.10吨），备注。</w:t>
      </w:r>
    </w:p>
    <w:p>
      <w:pPr>
        <w:spacing w:line="360" w:lineRule="auto"/>
        <w:rPr>
          <w:rFonts w:hint="eastAsia" w:ascii="宋体" w:hAnsi="宋体" w:eastAsia="宋体" w:cs="宋体"/>
          <w:sz w:val="24"/>
          <w:szCs w:val="24"/>
        </w:rPr>
      </w:pPr>
      <w:r>
        <w:rPr>
          <w:rFonts w:hint="eastAsia" w:ascii="宋体" w:hAnsi="宋体" w:eastAsia="宋体" w:cs="宋体"/>
          <w:sz w:val="24"/>
          <w:szCs w:val="24"/>
        </w:rPr>
        <w:t>司磅员，计量单位（ｔ），打印时间（YYYY－MM－DD　HH：MM：SS）</w:t>
      </w:r>
    </w:p>
    <w:p>
      <w:pPr>
        <w:spacing w:line="360" w:lineRule="auto"/>
        <w:rPr>
          <w:rFonts w:hint="eastAsia" w:ascii="宋体" w:hAnsi="宋体" w:eastAsia="宋体" w:cs="宋体"/>
          <w:sz w:val="24"/>
          <w:szCs w:val="24"/>
        </w:rPr>
      </w:pPr>
      <w:r>
        <w:rPr>
          <w:rFonts w:hint="eastAsia" w:ascii="宋体" w:hAnsi="宋体" w:eastAsia="宋体" w:cs="宋体"/>
          <w:sz w:val="24"/>
          <w:szCs w:val="24"/>
        </w:rPr>
        <w:t>洗煤厂每过一次磅，都要打印磅单，磅单由司机取走。</w:t>
      </w:r>
    </w:p>
    <w:p>
      <w:pPr>
        <w:pStyle w:val="4"/>
        <w:rPr>
          <w:rFonts w:hint="eastAsia" w:ascii="宋体" w:hAnsi="宋体" w:eastAsia="宋体" w:cs="宋体"/>
          <w:sz w:val="24"/>
          <w:szCs w:val="24"/>
        </w:rPr>
      </w:pPr>
      <w:bookmarkStart w:id="85" w:name="_Toc168"/>
      <w:r>
        <w:rPr>
          <w:rFonts w:hint="eastAsia" w:ascii="宋体" w:hAnsi="宋体" w:eastAsia="宋体" w:cs="宋体"/>
          <w:sz w:val="24"/>
          <w:szCs w:val="24"/>
        </w:rPr>
        <w:t>5.9二维码系统</w:t>
      </w:r>
      <w:bookmarkEnd w:id="8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使用场景：第一次上磅后，司机司机扫描二维码，系统自动调取该车信息：车牌号，收、发货单位，货物名称，司机信息等，系统判断重量稳定后，自动保存重量，出口方向的道闸开启，同时司机左前方的LED显示屏自动显示当前车牌号、重量、货物名称等信息，并提示司机车辆下磅。</w:t>
      </w:r>
      <w:bookmarkEnd w:id="59"/>
      <w:bookmarkStart w:id="86" w:name="_Toc4772797"/>
      <w:bookmarkStart w:id="87" w:name="_Toc1470106"/>
      <w:bookmarkStart w:id="88" w:name="_Toc50021303"/>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bookmarkEnd w:id="86"/>
    <w:bookmarkEnd w:id="87"/>
    <w:p>
      <w:pPr>
        <w:pStyle w:val="3"/>
        <w:numPr>
          <w:ilvl w:val="0"/>
          <w:numId w:val="0"/>
        </w:numPr>
        <w:spacing w:before="0" w:after="0" w:line="360" w:lineRule="auto"/>
        <w:ind w:left="-147" w:leftChars="0"/>
        <w:rPr>
          <w:rFonts w:hint="eastAsia" w:ascii="宋体" w:hAnsi="宋体" w:eastAsia="宋体" w:cs="宋体"/>
          <w:b w:val="0"/>
          <w:sz w:val="24"/>
          <w:szCs w:val="24"/>
        </w:rPr>
      </w:pPr>
      <w:bookmarkStart w:id="89" w:name="_Toc20039"/>
      <w:bookmarkStart w:id="90" w:name="_Toc525881223"/>
      <w:bookmarkStart w:id="91" w:name="_Toc43713721"/>
      <w:bookmarkStart w:id="92" w:name="_Toc50970525"/>
      <w:r>
        <w:rPr>
          <w:rFonts w:hint="eastAsia" w:ascii="宋体" w:hAnsi="宋体" w:eastAsia="宋体" w:cs="宋体"/>
          <w:b w:val="0"/>
          <w:sz w:val="24"/>
          <w:szCs w:val="24"/>
          <w:lang w:val="en-US" w:eastAsia="zh-CN"/>
        </w:rPr>
        <w:t xml:space="preserve">6 </w:t>
      </w:r>
      <w:r>
        <w:rPr>
          <w:rFonts w:hint="eastAsia" w:ascii="宋体" w:hAnsi="宋体" w:eastAsia="宋体" w:cs="宋体"/>
          <w:b w:val="0"/>
          <w:sz w:val="24"/>
          <w:szCs w:val="24"/>
        </w:rPr>
        <w:t>产品优势</w:t>
      </w:r>
      <w:bookmarkEnd w:id="89"/>
      <w:bookmarkEnd w:id="90"/>
      <w:bookmarkEnd w:id="91"/>
      <w:bookmarkEnd w:id="92"/>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软件基础平台框架进行产品化、项目化部署或二次开发。</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统一、稳定的开发、运行平台</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适用于不同企业、不同领域的应用系统二次开发</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封装了各应用系统共用的模块及组件</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融合了优秀、成熟的开发模式与实践</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自动生成一些重复度较高的文件</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提供了一些辅助管理工具</w:t>
      </w:r>
    </w:p>
    <w:p>
      <w:pPr>
        <w:pStyle w:val="34"/>
        <w:numPr>
          <w:ilvl w:val="0"/>
          <w:numId w:val="7"/>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提供统一的接口</w:t>
      </w:r>
    </w:p>
    <w:p>
      <w:pPr>
        <w:pStyle w:val="34"/>
        <w:numPr>
          <w:ilvl w:val="0"/>
          <w:numId w:val="0"/>
        </w:numPr>
        <w:rPr>
          <w:rFonts w:hint="eastAsia" w:ascii="宋体" w:hAnsi="宋体" w:eastAsia="宋体" w:cs="宋体"/>
          <w:color w:val="000000"/>
          <w:kern w:val="2"/>
          <w:sz w:val="24"/>
          <w:szCs w:val="24"/>
        </w:rPr>
      </w:pPr>
    </w:p>
    <w:p>
      <w:pPr>
        <w:pStyle w:val="34"/>
        <w:numPr>
          <w:ilvl w:val="0"/>
          <w:numId w:val="0"/>
        </w:numPr>
        <w:rPr>
          <w:rFonts w:hint="eastAsia" w:ascii="宋体" w:hAnsi="宋体" w:eastAsia="宋体" w:cs="宋体"/>
          <w:color w:val="000000"/>
          <w:kern w:val="2"/>
          <w:sz w:val="24"/>
          <w:szCs w:val="24"/>
        </w:rPr>
      </w:pPr>
    </w:p>
    <w:p>
      <w:pPr>
        <w:pStyle w:val="34"/>
        <w:numPr>
          <w:ilvl w:val="0"/>
          <w:numId w:val="0"/>
        </w:numPr>
        <w:ind w:left="-147" w:leftChars="0"/>
        <w:outlineLvl w:val="0"/>
        <w:rPr>
          <w:rFonts w:hint="eastAsia" w:ascii="宋体" w:hAnsi="宋体" w:eastAsia="宋体" w:cs="宋体"/>
          <w:color w:val="000000"/>
          <w:kern w:val="2"/>
          <w:sz w:val="24"/>
          <w:szCs w:val="24"/>
          <w:lang w:val="en-US" w:eastAsia="zh-CN"/>
        </w:rPr>
      </w:pPr>
      <w:bookmarkStart w:id="93" w:name="_Toc9139"/>
      <w:r>
        <w:rPr>
          <w:rFonts w:hint="eastAsia" w:ascii="宋体" w:hAnsi="宋体" w:cs="宋体"/>
          <w:color w:val="000000"/>
          <w:kern w:val="2"/>
          <w:sz w:val="24"/>
          <w:szCs w:val="24"/>
          <w:lang w:val="en-US" w:eastAsia="zh-CN"/>
        </w:rPr>
        <w:t xml:space="preserve">7 </w:t>
      </w:r>
      <w:r>
        <w:rPr>
          <w:rFonts w:hint="eastAsia" w:ascii="宋体" w:hAnsi="宋体" w:eastAsia="宋体" w:cs="宋体"/>
          <w:color w:val="000000"/>
          <w:kern w:val="2"/>
          <w:sz w:val="24"/>
          <w:szCs w:val="24"/>
          <w:lang w:val="en-US" w:eastAsia="zh-CN"/>
        </w:rPr>
        <w:t>项目</w:t>
      </w:r>
      <w:r>
        <w:rPr>
          <w:rFonts w:hint="eastAsia" w:ascii="宋体" w:hAnsi="宋体" w:eastAsia="宋体" w:cs="宋体"/>
          <w:sz w:val="24"/>
          <w:szCs w:val="24"/>
        </w:rPr>
        <w:t>人员配置</w:t>
      </w:r>
      <w:bookmarkEnd w:id="93"/>
    </w:p>
    <w:p>
      <w:pPr>
        <w:spacing w:line="360" w:lineRule="auto"/>
        <w:rPr>
          <w:rFonts w:hint="eastAsia" w:ascii="宋体" w:hAnsi="宋体" w:eastAsia="宋体" w:cs="宋体"/>
          <w:sz w:val="24"/>
          <w:szCs w:val="24"/>
        </w:rPr>
      </w:pPr>
      <w:r>
        <w:rPr>
          <w:rFonts w:hint="eastAsia" w:ascii="宋体" w:hAnsi="宋体" w:eastAsia="宋体" w:cs="宋体"/>
          <w:sz w:val="24"/>
          <w:szCs w:val="24"/>
        </w:rPr>
        <w:t>具体人员配置情况如下表</w:t>
      </w:r>
    </w:p>
    <w:tbl>
      <w:tblPr>
        <w:tblStyle w:val="23"/>
        <w:tblW w:w="8240" w:type="dxa"/>
        <w:tblInd w:w="1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2101"/>
        <w:gridCol w:w="1505"/>
        <w:gridCol w:w="3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exact"/>
        </w:trPr>
        <w:tc>
          <w:tcPr>
            <w:tcW w:w="759" w:type="dxa"/>
            <w:tcBorders>
              <w:top w:val="single" w:color="auto" w:sz="4"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2101" w:type="dxa"/>
            <w:tcBorders>
              <w:top w:val="single" w:color="auto" w:sz="4"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职位</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人数（15人）</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职责描述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项目经理</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负责项目的沟通协调，任务分派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产品经理</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负责对项目的需求进行分析，负责项目业务对接、功能设计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3</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技术经理</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负责项目技术选型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系统架构师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负责对系统技术架构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5</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UI设计师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负责对页面的设计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软件开发工程师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代码编写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7</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系统测试工程师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对系统进行测试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8</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系统实施工程师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对系统进行实施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9</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培训工程师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对使用者进行培训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运维工程师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系统维护</w:t>
            </w:r>
          </w:p>
        </w:tc>
      </w:tr>
    </w:tbl>
    <w:p>
      <w:pPr>
        <w:pStyle w:val="34"/>
        <w:numPr>
          <w:ilvl w:val="0"/>
          <w:numId w:val="0"/>
        </w:numPr>
        <w:ind w:leftChars="0"/>
        <w:rPr>
          <w:rFonts w:hint="eastAsia" w:ascii="宋体" w:hAnsi="宋体" w:eastAsia="宋体" w:cs="宋体"/>
          <w:color w:val="000000"/>
          <w:kern w:val="2"/>
          <w:sz w:val="24"/>
          <w:szCs w:val="24"/>
          <w:lang w:val="en-US" w:eastAsia="zh-CN"/>
        </w:rPr>
      </w:pPr>
    </w:p>
    <w:p>
      <w:pPr>
        <w:pStyle w:val="34"/>
        <w:numPr>
          <w:ilvl w:val="0"/>
          <w:numId w:val="0"/>
        </w:numPr>
        <w:ind w:leftChars="0"/>
        <w:rPr>
          <w:rFonts w:hint="eastAsia" w:ascii="宋体" w:hAnsi="宋体" w:eastAsia="宋体" w:cs="宋体"/>
          <w:color w:val="000000"/>
          <w:kern w:val="2"/>
          <w:sz w:val="24"/>
          <w:szCs w:val="24"/>
          <w:lang w:val="en-US" w:eastAsia="zh-CN"/>
        </w:rPr>
      </w:pPr>
    </w:p>
    <w:bookmarkEnd w:id="88"/>
    <w:p>
      <w:pPr>
        <w:pStyle w:val="3"/>
        <w:numPr>
          <w:ilvl w:val="0"/>
          <w:numId w:val="0"/>
        </w:numPr>
        <w:spacing w:before="0" w:after="0" w:line="360" w:lineRule="auto"/>
        <w:ind w:left="-147" w:leftChars="0"/>
        <w:rPr>
          <w:rFonts w:hint="eastAsia"/>
          <w:lang w:val="en-US" w:eastAsia="zh-CN"/>
        </w:rPr>
      </w:pPr>
      <w:bookmarkStart w:id="94" w:name="_Toc50021304"/>
      <w:bookmarkStart w:id="95" w:name="_Toc20934"/>
      <w:r>
        <w:rPr>
          <w:rFonts w:hint="eastAsia" w:ascii="宋体" w:hAnsi="宋体" w:eastAsia="宋体" w:cs="宋体"/>
          <w:b w:val="0"/>
          <w:sz w:val="24"/>
          <w:szCs w:val="24"/>
          <w:lang w:val="en-US" w:eastAsia="zh-CN"/>
        </w:rPr>
        <w:t>8</w:t>
      </w:r>
      <w:r>
        <w:rPr>
          <w:rFonts w:hint="eastAsia" w:ascii="宋体" w:hAnsi="宋体" w:cs="宋体"/>
          <w:color w:val="000000"/>
          <w:kern w:val="2"/>
          <w:sz w:val="24"/>
          <w:szCs w:val="24"/>
          <w:lang w:val="en-US" w:eastAsia="zh-CN"/>
        </w:rPr>
        <w:t xml:space="preserve"> </w:t>
      </w:r>
      <w:r>
        <w:rPr>
          <w:rFonts w:hint="eastAsia" w:ascii="宋体" w:hAnsi="宋体" w:eastAsia="宋体" w:cs="宋体"/>
          <w:b w:val="0"/>
          <w:sz w:val="24"/>
          <w:szCs w:val="24"/>
        </w:rPr>
        <w:t>部分行业案例</w:t>
      </w:r>
      <w:bookmarkEnd w:id="94"/>
      <w:r>
        <w:rPr>
          <w:rFonts w:hint="eastAsia" w:ascii="宋体" w:hAnsi="宋体" w:eastAsia="宋体" w:cs="宋体"/>
          <w:b w:val="0"/>
          <w:sz w:val="24"/>
          <w:szCs w:val="24"/>
          <w:lang w:val="en-US" w:eastAsia="zh-CN"/>
        </w:rPr>
        <w:t>现场</w:t>
      </w:r>
      <w:bookmarkEnd w:id="95"/>
    </w:p>
    <w:p>
      <w:pPr>
        <w:pStyle w:val="2"/>
        <w:rPr>
          <w:rFonts w:hint="eastAsia"/>
          <w:lang w:val="en-US" w:eastAsia="zh-CN"/>
        </w:rPr>
      </w:pPr>
      <w:r>
        <w:rPr>
          <w:rFonts w:hint="eastAsia"/>
          <w:lang w:val="en-US" w:eastAsia="zh-CN"/>
        </w:rPr>
        <w:drawing>
          <wp:inline distT="0" distB="0" distL="114300" distR="114300">
            <wp:extent cx="5264785" cy="3950335"/>
            <wp:effectExtent l="0" t="0" r="12065" b="12065"/>
            <wp:docPr id="11" name="图片 11" descr="510afd85d681dcfab2e5ebf8ee14c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510afd85d681dcfab2e5ebf8ee14c7c"/>
                    <pic:cNvPicPr>
                      <a:picLocks noChangeAspect="1"/>
                    </pic:cNvPicPr>
                  </pic:nvPicPr>
                  <pic:blipFill>
                    <a:blip r:embed="rId15"/>
                    <a:stretch>
                      <a:fillRect/>
                    </a:stretch>
                  </pic:blipFill>
                  <pic:spPr>
                    <a:xfrm>
                      <a:off x="0" y="0"/>
                      <a:ext cx="5264785" cy="3950335"/>
                    </a:xfrm>
                    <a:prstGeom prst="rect">
                      <a:avLst/>
                    </a:prstGeom>
                  </pic:spPr>
                </pic:pic>
              </a:graphicData>
            </a:graphic>
          </wp:inline>
        </w:drawing>
      </w:r>
    </w:p>
    <w:p>
      <w:pPr>
        <w:pStyle w:val="2"/>
        <w:rPr>
          <w:rFonts w:hint="eastAsia"/>
          <w:lang w:val="en-US" w:eastAsia="zh-CN"/>
        </w:rPr>
      </w:pPr>
      <w:r>
        <w:rPr>
          <w:rFonts w:hint="eastAsia"/>
          <w:lang w:val="en-US" w:eastAsia="zh-CN"/>
        </w:rPr>
        <w:drawing>
          <wp:inline distT="0" distB="0" distL="114300" distR="114300">
            <wp:extent cx="5264785" cy="3950335"/>
            <wp:effectExtent l="0" t="0" r="12065" b="12065"/>
            <wp:docPr id="12" name="图片 12" descr="6f074a927a3be5891a71594774c80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6f074a927a3be5891a71594774c80c7"/>
                    <pic:cNvPicPr>
                      <a:picLocks noChangeAspect="1"/>
                    </pic:cNvPicPr>
                  </pic:nvPicPr>
                  <pic:blipFill>
                    <a:blip r:embed="rId16"/>
                    <a:stretch>
                      <a:fillRect/>
                    </a:stretch>
                  </pic:blipFill>
                  <pic:spPr>
                    <a:xfrm>
                      <a:off x="0" y="0"/>
                      <a:ext cx="5264785" cy="395033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3509645"/>
            <wp:effectExtent l="0" t="0" r="12065" b="14605"/>
            <wp:docPr id="1" name="图片 1" descr="db38a2f22745d1c2153a2bed5ad4d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b38a2f22745d1c2153a2bed5ad4d55"/>
                    <pic:cNvPicPr>
                      <a:picLocks noChangeAspect="1"/>
                    </pic:cNvPicPr>
                  </pic:nvPicPr>
                  <pic:blipFill>
                    <a:blip r:embed="rId17"/>
                    <a:stretch>
                      <a:fillRect/>
                    </a:stretch>
                  </pic:blipFill>
                  <pic:spPr>
                    <a:xfrm>
                      <a:off x="0" y="0"/>
                      <a:ext cx="5264785" cy="350964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6690" cy="3950335"/>
            <wp:effectExtent l="0" t="0" r="10160" b="12065"/>
            <wp:docPr id="9" name="图片 9" descr="1e6b897ceee611afe68184ab1ecaf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e6b897ceee611afe68184ab1ecafac"/>
                    <pic:cNvPicPr>
                      <a:picLocks noChangeAspect="1"/>
                    </pic:cNvPicPr>
                  </pic:nvPicPr>
                  <pic:blipFill>
                    <a:blip r:embed="rId18"/>
                    <a:stretch>
                      <a:fillRect/>
                    </a:stretch>
                  </pic:blipFill>
                  <pic:spPr>
                    <a:xfrm>
                      <a:off x="0" y="0"/>
                      <a:ext cx="5266690" cy="395033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080510"/>
            <wp:effectExtent l="0" t="0" r="12065" b="15240"/>
            <wp:docPr id="4" name="图片 4" descr="ee772baa63b0e55b9fd40cea483aa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e772baa63b0e55b9fd40cea483aad6"/>
                    <pic:cNvPicPr>
                      <a:picLocks noChangeAspect="1"/>
                    </pic:cNvPicPr>
                  </pic:nvPicPr>
                  <pic:blipFill>
                    <a:blip r:embed="rId19"/>
                    <a:stretch>
                      <a:fillRect/>
                    </a:stretch>
                  </pic:blipFill>
                  <pic:spPr>
                    <a:xfrm>
                      <a:off x="0" y="0"/>
                      <a:ext cx="5264785" cy="4080510"/>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254500"/>
            <wp:effectExtent l="0" t="0" r="12065" b="12700"/>
            <wp:docPr id="5" name="图片 5" descr="ea2eea6c1a56b9967c09d3b241ca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a2eea6c1a56b9967c09d3b241ca222"/>
                    <pic:cNvPicPr>
                      <a:picLocks noChangeAspect="1"/>
                    </pic:cNvPicPr>
                  </pic:nvPicPr>
                  <pic:blipFill>
                    <a:blip r:embed="rId20"/>
                    <a:stretch>
                      <a:fillRect/>
                    </a:stretch>
                  </pic:blipFill>
                  <pic:spPr>
                    <a:xfrm>
                      <a:off x="0" y="0"/>
                      <a:ext cx="5264785" cy="4254500"/>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147185"/>
            <wp:effectExtent l="0" t="0" r="12065" b="5715"/>
            <wp:docPr id="6" name="图片 6" descr="b79ea789b939acac25579e402089b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79ea789b939acac25579e402089b61"/>
                    <pic:cNvPicPr>
                      <a:picLocks noChangeAspect="1"/>
                    </pic:cNvPicPr>
                  </pic:nvPicPr>
                  <pic:blipFill>
                    <a:blip r:embed="rId21"/>
                    <a:stretch>
                      <a:fillRect/>
                    </a:stretch>
                  </pic:blipFill>
                  <pic:spPr>
                    <a:xfrm>
                      <a:off x="0" y="0"/>
                      <a:ext cx="5264785" cy="414718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271645"/>
            <wp:effectExtent l="0" t="0" r="12065" b="14605"/>
            <wp:docPr id="8" name="图片 8" descr="c3fa83af8f072711e7769e9c75f48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3fa83af8f072711e7769e9c75f483c"/>
                    <pic:cNvPicPr>
                      <a:picLocks noChangeAspect="1"/>
                    </pic:cNvPicPr>
                  </pic:nvPicPr>
                  <pic:blipFill>
                    <a:blip r:embed="rId22"/>
                    <a:stretch>
                      <a:fillRect/>
                    </a:stretch>
                  </pic:blipFill>
                  <pic:spPr>
                    <a:xfrm>
                      <a:off x="0" y="0"/>
                      <a:ext cx="5264785" cy="4271645"/>
                    </a:xfrm>
                    <a:prstGeom prst="rect">
                      <a:avLst/>
                    </a:prstGeom>
                  </pic:spPr>
                </pic:pic>
              </a:graphicData>
            </a:graphic>
          </wp:inline>
        </w:drawing>
      </w:r>
    </w:p>
    <w:sectPr>
      <w:headerReference r:id="rId7" w:type="first"/>
      <w:headerReference r:id="rId6" w:type="even"/>
      <w:pgSz w:w="11906" w:h="16838"/>
      <w:pgMar w:top="1440" w:right="1797" w:bottom="680" w:left="1797" w:header="851" w:footer="57"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27305659"/>
    </w:sdtPr>
    <w:sdtContent>
      <w:p>
        <w:pPr>
          <w:pStyle w:val="16"/>
          <w:jc w:val="center"/>
        </w:pPr>
        <w:r>
          <w:fldChar w:fldCharType="begin"/>
        </w:r>
        <w:r>
          <w:instrText xml:space="preserve">PAGE   \* MERGEFORMAT</w:instrText>
        </w:r>
        <w:r>
          <w:fldChar w:fldCharType="separate"/>
        </w:r>
        <w:r>
          <w:rPr>
            <w:lang w:val="zh-CN"/>
          </w:rPr>
          <w:t>21</w:t>
        </w:r>
        <w:r>
          <w:fldChar w:fldCharType="end"/>
        </w:r>
      </w:p>
    </w:sdtContent>
  </w:sdt>
  <w:p>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8911598"/>
    </w:sdtPr>
    <w:sdtContent>
      <w:p>
        <w:pPr>
          <w:pStyle w:val="16"/>
          <w:jc w:val="center"/>
        </w:pPr>
        <w:r>
          <w:fldChar w:fldCharType="begin"/>
        </w:r>
        <w:r>
          <w:instrText xml:space="preserve">PAGE   \* MERGEFORMAT</w:instrText>
        </w:r>
        <w:r>
          <w:fldChar w:fldCharType="separate"/>
        </w:r>
        <w:r>
          <w:rPr>
            <w:lang w:val="zh-CN"/>
          </w:rPr>
          <w:t>18</w:t>
        </w:r>
        <w:r>
          <w:fldChar w:fldCharType="end"/>
        </w:r>
      </w:p>
    </w:sdtContent>
  </w:sdt>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jc w:val="left"/>
      <w:rPr>
        <w:rFonts w:hint="default" w:eastAsia="仿宋"/>
        <w:lang w:val="en-US" w:eastAsia="zh-CN"/>
      </w:rPr>
    </w:pPr>
    <w:r>
      <w:rPr>
        <w:rFonts w:hint="eastAsia" w:ascii="宋体" w:hAnsi="宋体" w:eastAsia="宋体"/>
        <w:lang w:val="en-US" w:eastAsia="zh-CN"/>
      </w:rPr>
      <w:t>陕西中泰材料科技有限公司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6000" w:firstLine="1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6000" w:firstLine="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abstractNum w:abstractNumId="0">
    <w:nsid w:val="12950508"/>
    <w:multiLevelType w:val="multilevel"/>
    <w:tmpl w:val="12950508"/>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8704882"/>
    <w:multiLevelType w:val="multilevel"/>
    <w:tmpl w:val="18704882"/>
    <w:lvl w:ilvl="0" w:tentative="0">
      <w:start w:val="1"/>
      <w:numFmt w:val="decimal"/>
      <w:lvlText w:val="%1)"/>
      <w:lvlJc w:val="left"/>
      <w:pPr>
        <w:ind w:left="987" w:hanging="420"/>
      </w:p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2">
    <w:nsid w:val="1E497DF9"/>
    <w:multiLevelType w:val="multilevel"/>
    <w:tmpl w:val="1E497DF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6BB7EED"/>
    <w:multiLevelType w:val="multilevel"/>
    <w:tmpl w:val="26BB7EED"/>
    <w:lvl w:ilvl="0" w:tentative="0">
      <w:start w:val="1"/>
      <w:numFmt w:val="decimal"/>
      <w:lvlText w:val="%1"/>
      <w:lvlJc w:val="left"/>
      <w:pPr>
        <w:ind w:left="425" w:hanging="425"/>
      </w:pPr>
    </w:lvl>
    <w:lvl w:ilvl="1" w:tentative="0">
      <w:start w:val="1"/>
      <w:numFmt w:val="decimal"/>
      <w:lvlText w:val="%1.%2"/>
      <w:lvlJc w:val="left"/>
      <w:pPr>
        <w:ind w:left="531"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4">
    <w:nsid w:val="2D642106"/>
    <w:multiLevelType w:val="multilevel"/>
    <w:tmpl w:val="2D642106"/>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41D745A"/>
    <w:multiLevelType w:val="multilevel"/>
    <w:tmpl w:val="641D745A"/>
    <w:lvl w:ilvl="0" w:tentative="0">
      <w:start w:val="1"/>
      <w:numFmt w:val="bullet"/>
      <w:lvlText w:val=""/>
      <w:lvlPicBulletId w:val="0"/>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6">
    <w:nsid w:val="7BFA7F6E"/>
    <w:multiLevelType w:val="multilevel"/>
    <w:tmpl w:val="7BFA7F6E"/>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3"/>
  </w:num>
  <w:num w:numId="2">
    <w:abstractNumId w:val="6"/>
  </w:num>
  <w:num w:numId="3">
    <w:abstractNumId w:val="0"/>
  </w:num>
  <w:num w:numId="4">
    <w:abstractNumId w:val="4"/>
  </w:num>
  <w:num w:numId="5">
    <w:abstractNumId w:val="1"/>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ViYTY2NDcyNTU0ZjRiYzVlOGI1ZDM1OGEyNWUzZGMifQ=="/>
  </w:docVars>
  <w:rsids>
    <w:rsidRoot w:val="007076BC"/>
    <w:rsid w:val="00040E8C"/>
    <w:rsid w:val="00086F01"/>
    <w:rsid w:val="000A334F"/>
    <w:rsid w:val="000B5388"/>
    <w:rsid w:val="000F1C19"/>
    <w:rsid w:val="000F2C2A"/>
    <w:rsid w:val="000F3FCB"/>
    <w:rsid w:val="00154B2D"/>
    <w:rsid w:val="001635C1"/>
    <w:rsid w:val="001871E6"/>
    <w:rsid w:val="0019360C"/>
    <w:rsid w:val="001B4C78"/>
    <w:rsid w:val="001D47D3"/>
    <w:rsid w:val="002B0470"/>
    <w:rsid w:val="002F00F6"/>
    <w:rsid w:val="00315B26"/>
    <w:rsid w:val="00370C06"/>
    <w:rsid w:val="003833A4"/>
    <w:rsid w:val="003A1C8E"/>
    <w:rsid w:val="003A2B99"/>
    <w:rsid w:val="003B3A18"/>
    <w:rsid w:val="003E7546"/>
    <w:rsid w:val="00427FB7"/>
    <w:rsid w:val="004524B3"/>
    <w:rsid w:val="00470FDB"/>
    <w:rsid w:val="004A0CDA"/>
    <w:rsid w:val="004C3C43"/>
    <w:rsid w:val="005308AF"/>
    <w:rsid w:val="00585464"/>
    <w:rsid w:val="00585C1F"/>
    <w:rsid w:val="00585FC8"/>
    <w:rsid w:val="005A0F3F"/>
    <w:rsid w:val="006B2096"/>
    <w:rsid w:val="006F144C"/>
    <w:rsid w:val="006F2AD0"/>
    <w:rsid w:val="006F549E"/>
    <w:rsid w:val="0070708A"/>
    <w:rsid w:val="007076BC"/>
    <w:rsid w:val="007505EA"/>
    <w:rsid w:val="00790ED1"/>
    <w:rsid w:val="007C0CBC"/>
    <w:rsid w:val="007C4465"/>
    <w:rsid w:val="007D2184"/>
    <w:rsid w:val="0080017B"/>
    <w:rsid w:val="0083064F"/>
    <w:rsid w:val="00844C61"/>
    <w:rsid w:val="00855698"/>
    <w:rsid w:val="00856B5D"/>
    <w:rsid w:val="008614D3"/>
    <w:rsid w:val="008700F2"/>
    <w:rsid w:val="00885A40"/>
    <w:rsid w:val="00894E9F"/>
    <w:rsid w:val="00905482"/>
    <w:rsid w:val="00906407"/>
    <w:rsid w:val="009201E2"/>
    <w:rsid w:val="00933B5C"/>
    <w:rsid w:val="00961AD0"/>
    <w:rsid w:val="009648BC"/>
    <w:rsid w:val="00984FFD"/>
    <w:rsid w:val="00994DFA"/>
    <w:rsid w:val="009A34C3"/>
    <w:rsid w:val="009C0845"/>
    <w:rsid w:val="009C7CE1"/>
    <w:rsid w:val="009D3CFC"/>
    <w:rsid w:val="009F4949"/>
    <w:rsid w:val="00A14F3B"/>
    <w:rsid w:val="00A2093B"/>
    <w:rsid w:val="00A21A55"/>
    <w:rsid w:val="00A46962"/>
    <w:rsid w:val="00AF0333"/>
    <w:rsid w:val="00B11721"/>
    <w:rsid w:val="00B16D73"/>
    <w:rsid w:val="00B2494E"/>
    <w:rsid w:val="00B55ABC"/>
    <w:rsid w:val="00B64A7E"/>
    <w:rsid w:val="00B73D72"/>
    <w:rsid w:val="00B82D59"/>
    <w:rsid w:val="00BD6055"/>
    <w:rsid w:val="00C02DDF"/>
    <w:rsid w:val="00C06B50"/>
    <w:rsid w:val="00C15C4E"/>
    <w:rsid w:val="00C237C2"/>
    <w:rsid w:val="00C4747F"/>
    <w:rsid w:val="00C53E13"/>
    <w:rsid w:val="00CE3473"/>
    <w:rsid w:val="00D0191C"/>
    <w:rsid w:val="00D51F4B"/>
    <w:rsid w:val="00D65458"/>
    <w:rsid w:val="00D71874"/>
    <w:rsid w:val="00D91E93"/>
    <w:rsid w:val="00DE21F0"/>
    <w:rsid w:val="00E041DC"/>
    <w:rsid w:val="00E229DB"/>
    <w:rsid w:val="00E57212"/>
    <w:rsid w:val="00E90214"/>
    <w:rsid w:val="00E93EA7"/>
    <w:rsid w:val="00E96B66"/>
    <w:rsid w:val="00EA590B"/>
    <w:rsid w:val="00EC345A"/>
    <w:rsid w:val="00EC7732"/>
    <w:rsid w:val="00EF18AD"/>
    <w:rsid w:val="00F45B07"/>
    <w:rsid w:val="00F83965"/>
    <w:rsid w:val="00F96522"/>
    <w:rsid w:val="00FA02BE"/>
    <w:rsid w:val="00FA754B"/>
    <w:rsid w:val="00FB6C58"/>
    <w:rsid w:val="018F70C4"/>
    <w:rsid w:val="01AF5332"/>
    <w:rsid w:val="021A5B5D"/>
    <w:rsid w:val="024C5C84"/>
    <w:rsid w:val="026F26A6"/>
    <w:rsid w:val="029B5F4B"/>
    <w:rsid w:val="0346571A"/>
    <w:rsid w:val="03FB724F"/>
    <w:rsid w:val="05C215A4"/>
    <w:rsid w:val="065212A6"/>
    <w:rsid w:val="06A9046D"/>
    <w:rsid w:val="071060C0"/>
    <w:rsid w:val="08391C14"/>
    <w:rsid w:val="08492F7E"/>
    <w:rsid w:val="08F54FFF"/>
    <w:rsid w:val="09741BF2"/>
    <w:rsid w:val="0987742F"/>
    <w:rsid w:val="098C19B0"/>
    <w:rsid w:val="0A317207"/>
    <w:rsid w:val="0A941FF7"/>
    <w:rsid w:val="0ABC45EB"/>
    <w:rsid w:val="0B8D7DF7"/>
    <w:rsid w:val="0B9C08A3"/>
    <w:rsid w:val="0BE149C2"/>
    <w:rsid w:val="0BEA1661"/>
    <w:rsid w:val="0CCA1641"/>
    <w:rsid w:val="0D0E73B0"/>
    <w:rsid w:val="0E264BEA"/>
    <w:rsid w:val="0F3D3594"/>
    <w:rsid w:val="0F625CF5"/>
    <w:rsid w:val="0F680DBF"/>
    <w:rsid w:val="0FE1400A"/>
    <w:rsid w:val="10045C2E"/>
    <w:rsid w:val="10343BC5"/>
    <w:rsid w:val="11576A00"/>
    <w:rsid w:val="121C2071"/>
    <w:rsid w:val="1221480A"/>
    <w:rsid w:val="1227056E"/>
    <w:rsid w:val="12870B90"/>
    <w:rsid w:val="12887C05"/>
    <w:rsid w:val="13C705E2"/>
    <w:rsid w:val="140E478F"/>
    <w:rsid w:val="15A56734"/>
    <w:rsid w:val="16886814"/>
    <w:rsid w:val="16E363FB"/>
    <w:rsid w:val="18366AB4"/>
    <w:rsid w:val="19610321"/>
    <w:rsid w:val="1A051DA2"/>
    <w:rsid w:val="1A150A8A"/>
    <w:rsid w:val="1A245D7F"/>
    <w:rsid w:val="1B3A2711"/>
    <w:rsid w:val="1C9172B7"/>
    <w:rsid w:val="1CF0578D"/>
    <w:rsid w:val="1D2B5579"/>
    <w:rsid w:val="1D306ECF"/>
    <w:rsid w:val="1D4D7A81"/>
    <w:rsid w:val="1F7B59FE"/>
    <w:rsid w:val="1FBA3072"/>
    <w:rsid w:val="1FE3204A"/>
    <w:rsid w:val="204905B8"/>
    <w:rsid w:val="20AF45AF"/>
    <w:rsid w:val="21067BA5"/>
    <w:rsid w:val="21506BFE"/>
    <w:rsid w:val="21FD45E7"/>
    <w:rsid w:val="222C28DC"/>
    <w:rsid w:val="225F03A2"/>
    <w:rsid w:val="22A10524"/>
    <w:rsid w:val="22C2236F"/>
    <w:rsid w:val="232E3EB1"/>
    <w:rsid w:val="248622A2"/>
    <w:rsid w:val="258D2DC6"/>
    <w:rsid w:val="25E76EA7"/>
    <w:rsid w:val="265648F7"/>
    <w:rsid w:val="27410184"/>
    <w:rsid w:val="27475AB7"/>
    <w:rsid w:val="27CD64A0"/>
    <w:rsid w:val="27CE53A2"/>
    <w:rsid w:val="27FE7580"/>
    <w:rsid w:val="28F97E28"/>
    <w:rsid w:val="29E006AC"/>
    <w:rsid w:val="2A01481B"/>
    <w:rsid w:val="2A157B78"/>
    <w:rsid w:val="2AAC2F96"/>
    <w:rsid w:val="2B4B1F37"/>
    <w:rsid w:val="2B9736A8"/>
    <w:rsid w:val="2BE61225"/>
    <w:rsid w:val="2C035E03"/>
    <w:rsid w:val="2D2873D5"/>
    <w:rsid w:val="2D7B4088"/>
    <w:rsid w:val="2DE735DA"/>
    <w:rsid w:val="2E5B3910"/>
    <w:rsid w:val="2F522CD5"/>
    <w:rsid w:val="2F8E3591"/>
    <w:rsid w:val="309E5534"/>
    <w:rsid w:val="30A26868"/>
    <w:rsid w:val="30AA735A"/>
    <w:rsid w:val="323177D5"/>
    <w:rsid w:val="328818C4"/>
    <w:rsid w:val="335975FF"/>
    <w:rsid w:val="3371744F"/>
    <w:rsid w:val="338D004A"/>
    <w:rsid w:val="33D71559"/>
    <w:rsid w:val="33F612CC"/>
    <w:rsid w:val="35B66A08"/>
    <w:rsid w:val="35CC5E76"/>
    <w:rsid w:val="35EB508F"/>
    <w:rsid w:val="373158C6"/>
    <w:rsid w:val="373C7FF3"/>
    <w:rsid w:val="37BA1D5F"/>
    <w:rsid w:val="37C6373D"/>
    <w:rsid w:val="38AD3274"/>
    <w:rsid w:val="394B57D9"/>
    <w:rsid w:val="39CC7407"/>
    <w:rsid w:val="3B0E4421"/>
    <w:rsid w:val="3B3678E8"/>
    <w:rsid w:val="3B6C2FE7"/>
    <w:rsid w:val="3B7C54E4"/>
    <w:rsid w:val="3CDF42DB"/>
    <w:rsid w:val="3CE65DE3"/>
    <w:rsid w:val="3D057D8B"/>
    <w:rsid w:val="3D7529B0"/>
    <w:rsid w:val="3DCC29BA"/>
    <w:rsid w:val="3DE67EF9"/>
    <w:rsid w:val="3E4615E2"/>
    <w:rsid w:val="3EB42F3C"/>
    <w:rsid w:val="3EC80ABA"/>
    <w:rsid w:val="3EDB798A"/>
    <w:rsid w:val="3EEA22E3"/>
    <w:rsid w:val="3F71337E"/>
    <w:rsid w:val="3F831FE2"/>
    <w:rsid w:val="3FA534C2"/>
    <w:rsid w:val="407242BD"/>
    <w:rsid w:val="40EC2BD2"/>
    <w:rsid w:val="412E79F3"/>
    <w:rsid w:val="42143744"/>
    <w:rsid w:val="4242287E"/>
    <w:rsid w:val="42CE00EB"/>
    <w:rsid w:val="453915B0"/>
    <w:rsid w:val="46BB084E"/>
    <w:rsid w:val="46FD1EFC"/>
    <w:rsid w:val="47183F5C"/>
    <w:rsid w:val="47E81B2E"/>
    <w:rsid w:val="4A7D3759"/>
    <w:rsid w:val="4AED1FEF"/>
    <w:rsid w:val="4B327186"/>
    <w:rsid w:val="4C477F73"/>
    <w:rsid w:val="4C4F219F"/>
    <w:rsid w:val="4D0E689A"/>
    <w:rsid w:val="4D396A5F"/>
    <w:rsid w:val="4E9449A5"/>
    <w:rsid w:val="4EBB7747"/>
    <w:rsid w:val="4EBE1CDD"/>
    <w:rsid w:val="4EC42650"/>
    <w:rsid w:val="4EDB288F"/>
    <w:rsid w:val="4F114C16"/>
    <w:rsid w:val="4F155DA1"/>
    <w:rsid w:val="4FBA38FF"/>
    <w:rsid w:val="50245AB2"/>
    <w:rsid w:val="50D31FB0"/>
    <w:rsid w:val="50FB6EE4"/>
    <w:rsid w:val="520675FB"/>
    <w:rsid w:val="5229185E"/>
    <w:rsid w:val="529B41B2"/>
    <w:rsid w:val="52A14AAA"/>
    <w:rsid w:val="53860651"/>
    <w:rsid w:val="539C487B"/>
    <w:rsid w:val="545048F2"/>
    <w:rsid w:val="54723C7D"/>
    <w:rsid w:val="54C73B0D"/>
    <w:rsid w:val="556B6E5E"/>
    <w:rsid w:val="55D10A72"/>
    <w:rsid w:val="565B2CD0"/>
    <w:rsid w:val="570E5C58"/>
    <w:rsid w:val="58E941AD"/>
    <w:rsid w:val="59092819"/>
    <w:rsid w:val="5B1C3694"/>
    <w:rsid w:val="5C924900"/>
    <w:rsid w:val="5CF8285E"/>
    <w:rsid w:val="5D486275"/>
    <w:rsid w:val="5DAA3B58"/>
    <w:rsid w:val="5E145B85"/>
    <w:rsid w:val="5F4B708D"/>
    <w:rsid w:val="6067579A"/>
    <w:rsid w:val="60AB2EAD"/>
    <w:rsid w:val="610009BB"/>
    <w:rsid w:val="614400FC"/>
    <w:rsid w:val="61E64C2D"/>
    <w:rsid w:val="62005D46"/>
    <w:rsid w:val="621846FD"/>
    <w:rsid w:val="62D502BE"/>
    <w:rsid w:val="63BC03E7"/>
    <w:rsid w:val="64AA1F0F"/>
    <w:rsid w:val="661D647B"/>
    <w:rsid w:val="66485F17"/>
    <w:rsid w:val="66794A0B"/>
    <w:rsid w:val="6814415A"/>
    <w:rsid w:val="68E934F8"/>
    <w:rsid w:val="69163EF1"/>
    <w:rsid w:val="692848B6"/>
    <w:rsid w:val="6A3E3C8C"/>
    <w:rsid w:val="6B030D4C"/>
    <w:rsid w:val="6B4776A5"/>
    <w:rsid w:val="6B9D2980"/>
    <w:rsid w:val="6B9D527F"/>
    <w:rsid w:val="6BE41B99"/>
    <w:rsid w:val="6C8C5DE1"/>
    <w:rsid w:val="6D0A2952"/>
    <w:rsid w:val="6D4A326F"/>
    <w:rsid w:val="6D530162"/>
    <w:rsid w:val="6D5C5A54"/>
    <w:rsid w:val="6EEE4BC6"/>
    <w:rsid w:val="6EF2535F"/>
    <w:rsid w:val="6F34261A"/>
    <w:rsid w:val="6FBD5869"/>
    <w:rsid w:val="6FEB3533"/>
    <w:rsid w:val="70504778"/>
    <w:rsid w:val="705D2071"/>
    <w:rsid w:val="70C57A65"/>
    <w:rsid w:val="710C0B05"/>
    <w:rsid w:val="712D3F3B"/>
    <w:rsid w:val="713E1180"/>
    <w:rsid w:val="714D13E5"/>
    <w:rsid w:val="71670625"/>
    <w:rsid w:val="716D41E0"/>
    <w:rsid w:val="718B5ACC"/>
    <w:rsid w:val="72273254"/>
    <w:rsid w:val="723F63AD"/>
    <w:rsid w:val="72572B1B"/>
    <w:rsid w:val="736B3932"/>
    <w:rsid w:val="73815EB3"/>
    <w:rsid w:val="74373E7A"/>
    <w:rsid w:val="74502F30"/>
    <w:rsid w:val="74ED70F5"/>
    <w:rsid w:val="7618000C"/>
    <w:rsid w:val="76735285"/>
    <w:rsid w:val="76B4114C"/>
    <w:rsid w:val="77DE16AB"/>
    <w:rsid w:val="7A491236"/>
    <w:rsid w:val="7A5F276B"/>
    <w:rsid w:val="7A832DF8"/>
    <w:rsid w:val="7AF65758"/>
    <w:rsid w:val="7B777DA4"/>
    <w:rsid w:val="7BE7739F"/>
    <w:rsid w:val="7BF94361"/>
    <w:rsid w:val="7C1508DF"/>
    <w:rsid w:val="7CE06575"/>
    <w:rsid w:val="7D496A92"/>
    <w:rsid w:val="7DAA3D4D"/>
    <w:rsid w:val="7DC61235"/>
    <w:rsid w:val="7DDE2550"/>
    <w:rsid w:val="7E3503B1"/>
    <w:rsid w:val="7E822F43"/>
    <w:rsid w:val="7EC700C0"/>
    <w:rsid w:val="7F2552D7"/>
    <w:rsid w:val="7FE40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仿宋" w:eastAsia="仿宋" w:cs="Times New Roman"/>
      <w:kern w:val="2"/>
      <w:sz w:val="24"/>
      <w:szCs w:val="24"/>
      <w:lang w:val="en-US" w:eastAsia="zh-CN" w:bidi="ar-SA"/>
    </w:rPr>
  </w:style>
  <w:style w:type="paragraph" w:styleId="3">
    <w:name w:val="heading 1"/>
    <w:basedOn w:val="1"/>
    <w:next w:val="1"/>
    <w:link w:val="28"/>
    <w:qFormat/>
    <w:uiPriority w:val="9"/>
    <w:pPr>
      <w:keepNext/>
      <w:keepLines/>
      <w:spacing w:before="340" w:after="330"/>
      <w:outlineLvl w:val="0"/>
    </w:pPr>
    <w:rPr>
      <w:rFonts w:ascii="仿宋" w:hAnsi="仿宋" w:eastAsia="仿宋" w:cstheme="minorBidi"/>
      <w:b/>
      <w:bCs/>
      <w:kern w:val="44"/>
      <w:sz w:val="44"/>
      <w:szCs w:val="44"/>
      <w:lang w:val="en-US" w:eastAsia="zh-CN" w:bidi="ar-SA"/>
    </w:rPr>
  </w:style>
  <w:style w:type="paragraph" w:styleId="4">
    <w:name w:val="heading 2"/>
    <w:basedOn w:val="1"/>
    <w:next w:val="1"/>
    <w:link w:val="29"/>
    <w:unhideWhenUsed/>
    <w:qFormat/>
    <w:uiPriority w:val="0"/>
    <w:pPr>
      <w:keepNext/>
      <w:keepLines/>
      <w:spacing w:before="260" w:after="260"/>
      <w:outlineLvl w:val="1"/>
    </w:pPr>
    <w:rPr>
      <w:rFonts w:cstheme="majorBidi"/>
      <w:b/>
      <w:bCs/>
      <w:sz w:val="32"/>
      <w:szCs w:val="32"/>
    </w:rPr>
  </w:style>
  <w:style w:type="paragraph" w:styleId="5">
    <w:name w:val="heading 3"/>
    <w:basedOn w:val="1"/>
    <w:next w:val="1"/>
    <w:link w:val="30"/>
    <w:unhideWhenUsed/>
    <w:qFormat/>
    <w:uiPriority w:val="0"/>
    <w:pPr>
      <w:keepNext/>
      <w:keepLines/>
      <w:spacing w:before="100" w:beforeAutospacing="1" w:after="100" w:afterAutospacing="1" w:line="360" w:lineRule="auto"/>
      <w:outlineLvl w:val="2"/>
    </w:pPr>
    <w:rPr>
      <w:b/>
      <w:bCs/>
      <w:sz w:val="30"/>
      <w:szCs w:val="32"/>
    </w:rPr>
  </w:style>
  <w:style w:type="paragraph" w:styleId="6">
    <w:name w:val="heading 4"/>
    <w:basedOn w:val="1"/>
    <w:next w:val="1"/>
    <w:link w:val="31"/>
    <w:unhideWhenUsed/>
    <w:qFormat/>
    <w:uiPriority w:val="9"/>
    <w:pPr>
      <w:keepNext/>
      <w:keepLines/>
      <w:spacing w:before="120" w:line="360" w:lineRule="auto"/>
      <w:outlineLvl w:val="3"/>
    </w:pPr>
    <w:rPr>
      <w:rFonts w:cstheme="majorBidi"/>
      <w:b/>
      <w:bCs/>
      <w:sz w:val="28"/>
      <w:szCs w:val="28"/>
    </w:rPr>
  </w:style>
  <w:style w:type="paragraph" w:styleId="7">
    <w:name w:val="heading 5"/>
    <w:basedOn w:val="1"/>
    <w:next w:val="1"/>
    <w:link w:val="32"/>
    <w:unhideWhenUsed/>
    <w:qFormat/>
    <w:uiPriority w:val="9"/>
    <w:pPr>
      <w:keepNext/>
      <w:keepLines/>
      <w:spacing w:before="280" w:after="290" w:line="377" w:lineRule="auto"/>
      <w:outlineLvl w:val="4"/>
    </w:pPr>
    <w:rPr>
      <w:b/>
      <w:bCs/>
      <w:szCs w:val="28"/>
    </w:rPr>
  </w:style>
  <w:style w:type="paragraph" w:styleId="8">
    <w:name w:val="heading 6"/>
    <w:basedOn w:val="1"/>
    <w:next w:val="1"/>
    <w:semiHidden/>
    <w:unhideWhenUsed/>
    <w:qFormat/>
    <w:uiPriority w:val="9"/>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微软雅黑" w:cs="宋体"/>
      <w:color w:val="000000"/>
      <w:sz w:val="24"/>
      <w:szCs w:val="24"/>
      <w:lang w:val="en-US" w:eastAsia="zh-CN" w:bidi="ar-SA"/>
    </w:rPr>
  </w:style>
  <w:style w:type="paragraph" w:styleId="9">
    <w:name w:val="toc 7"/>
    <w:basedOn w:val="1"/>
    <w:next w:val="1"/>
    <w:unhideWhenUsed/>
    <w:qFormat/>
    <w:uiPriority w:val="39"/>
    <w:pPr>
      <w:ind w:left="2520" w:leftChars="1200"/>
    </w:pPr>
    <w:rPr>
      <w:rFonts w:asciiTheme="minorHAnsi" w:hAnsiTheme="minorHAnsi" w:eastAsiaTheme="minorEastAsia" w:cstheme="minorBidi"/>
      <w:sz w:val="21"/>
      <w:szCs w:val="22"/>
    </w:rPr>
  </w:style>
  <w:style w:type="paragraph" w:styleId="10">
    <w:name w:val="Body Text Indent"/>
    <w:basedOn w:val="1"/>
    <w:link w:val="39"/>
    <w:unhideWhenUsed/>
    <w:qFormat/>
    <w:uiPriority w:val="99"/>
    <w:pPr>
      <w:spacing w:after="120"/>
      <w:ind w:left="420" w:leftChars="200"/>
    </w:pPr>
  </w:style>
  <w:style w:type="paragraph" w:styleId="11">
    <w:name w:val="toc 5"/>
    <w:basedOn w:val="1"/>
    <w:next w:val="1"/>
    <w:unhideWhenUsed/>
    <w:qFormat/>
    <w:uiPriority w:val="39"/>
    <w:pPr>
      <w:ind w:left="1680" w:leftChars="800"/>
    </w:pPr>
    <w:rPr>
      <w:rFonts w:asciiTheme="minorHAnsi" w:hAnsiTheme="minorHAnsi" w:eastAsiaTheme="minorEastAsia" w:cstheme="minorBidi"/>
      <w:sz w:val="21"/>
      <w:szCs w:val="22"/>
    </w:rPr>
  </w:style>
  <w:style w:type="paragraph" w:styleId="12">
    <w:name w:val="toc 3"/>
    <w:basedOn w:val="1"/>
    <w:next w:val="1"/>
    <w:unhideWhenUsed/>
    <w:qFormat/>
    <w:uiPriority w:val="39"/>
    <w:pPr>
      <w:ind w:left="840" w:leftChars="400"/>
    </w:pPr>
  </w:style>
  <w:style w:type="paragraph" w:styleId="13">
    <w:name w:val="toc 8"/>
    <w:basedOn w:val="1"/>
    <w:next w:val="1"/>
    <w:unhideWhenUsed/>
    <w:qFormat/>
    <w:uiPriority w:val="39"/>
    <w:pPr>
      <w:ind w:left="2940" w:leftChars="1400"/>
    </w:pPr>
    <w:rPr>
      <w:rFonts w:asciiTheme="minorHAnsi" w:hAnsiTheme="minorHAnsi" w:eastAsiaTheme="minorEastAsia" w:cstheme="minorBidi"/>
      <w:sz w:val="21"/>
      <w:szCs w:val="22"/>
    </w:rPr>
  </w:style>
  <w:style w:type="paragraph" w:styleId="14">
    <w:name w:val="Date"/>
    <w:basedOn w:val="1"/>
    <w:next w:val="1"/>
    <w:link w:val="27"/>
    <w:semiHidden/>
    <w:unhideWhenUsed/>
    <w:qFormat/>
    <w:uiPriority w:val="99"/>
    <w:pPr>
      <w:ind w:left="100" w:leftChars="2500"/>
    </w:pPr>
  </w:style>
  <w:style w:type="paragraph" w:styleId="15">
    <w:name w:val="Balloon Text"/>
    <w:basedOn w:val="1"/>
    <w:link w:val="43"/>
    <w:semiHidden/>
    <w:unhideWhenUsed/>
    <w:qFormat/>
    <w:uiPriority w:val="99"/>
    <w:rPr>
      <w:sz w:val="18"/>
      <w:szCs w:val="18"/>
    </w:rPr>
  </w:style>
  <w:style w:type="paragraph" w:styleId="16">
    <w:name w:val="footer"/>
    <w:basedOn w:val="1"/>
    <w:link w:val="36"/>
    <w:unhideWhenUsed/>
    <w:qFormat/>
    <w:uiPriority w:val="99"/>
    <w:pPr>
      <w:tabs>
        <w:tab w:val="center" w:pos="4153"/>
        <w:tab w:val="right" w:pos="8306"/>
      </w:tabs>
      <w:snapToGrid w:val="0"/>
      <w:jc w:val="left"/>
    </w:pPr>
    <w:rPr>
      <w:sz w:val="18"/>
      <w:szCs w:val="18"/>
    </w:rPr>
  </w:style>
  <w:style w:type="paragraph" w:styleId="17">
    <w:name w:val="header"/>
    <w:basedOn w:val="1"/>
    <w:link w:val="37"/>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tabs>
        <w:tab w:val="left" w:pos="420"/>
        <w:tab w:val="right" w:leader="dot" w:pos="8296"/>
      </w:tabs>
      <w:spacing w:line="360" w:lineRule="auto"/>
    </w:pPr>
  </w:style>
  <w:style w:type="paragraph" w:styleId="19">
    <w:name w:val="toc 4"/>
    <w:basedOn w:val="1"/>
    <w:next w:val="1"/>
    <w:unhideWhenUsed/>
    <w:qFormat/>
    <w:uiPriority w:val="39"/>
    <w:pPr>
      <w:ind w:left="1260" w:leftChars="600"/>
    </w:pPr>
    <w:rPr>
      <w:rFonts w:asciiTheme="minorHAnsi" w:hAnsiTheme="minorHAnsi" w:eastAsiaTheme="minorEastAsia" w:cstheme="minorBidi"/>
      <w:sz w:val="21"/>
      <w:szCs w:val="22"/>
    </w:rPr>
  </w:style>
  <w:style w:type="paragraph" w:styleId="20">
    <w:name w:val="toc 6"/>
    <w:basedOn w:val="1"/>
    <w:next w:val="1"/>
    <w:unhideWhenUsed/>
    <w:qFormat/>
    <w:uiPriority w:val="39"/>
    <w:pPr>
      <w:ind w:left="2100" w:leftChars="1000"/>
    </w:pPr>
    <w:rPr>
      <w:rFonts w:asciiTheme="minorHAnsi" w:hAnsiTheme="minorHAnsi" w:eastAsiaTheme="minorEastAsia" w:cstheme="minorBidi"/>
      <w:sz w:val="21"/>
      <w:szCs w:val="22"/>
    </w:rPr>
  </w:style>
  <w:style w:type="paragraph" w:styleId="21">
    <w:name w:val="toc 2"/>
    <w:basedOn w:val="1"/>
    <w:next w:val="1"/>
    <w:unhideWhenUsed/>
    <w:qFormat/>
    <w:uiPriority w:val="39"/>
    <w:pPr>
      <w:ind w:left="420" w:leftChars="200"/>
    </w:pPr>
  </w:style>
  <w:style w:type="paragraph" w:styleId="22">
    <w:name w:val="toc 9"/>
    <w:basedOn w:val="1"/>
    <w:next w:val="1"/>
    <w:unhideWhenUsed/>
    <w:qFormat/>
    <w:uiPriority w:val="39"/>
    <w:pPr>
      <w:ind w:left="3360" w:leftChars="1600"/>
    </w:pPr>
    <w:rPr>
      <w:rFonts w:asciiTheme="minorHAnsi" w:hAnsiTheme="minorHAnsi" w:eastAsiaTheme="minorEastAsia" w:cstheme="minorBidi"/>
      <w:sz w:val="21"/>
      <w:szCs w:val="22"/>
    </w:rPr>
  </w:style>
  <w:style w:type="table" w:styleId="24">
    <w:name w:val="Table Grid"/>
    <w:basedOn w:val="23"/>
    <w:unhideWhenUsed/>
    <w:qFormat/>
    <w:uiPriority w:val="39"/>
    <w:pPr>
      <w:widowControl w:val="0"/>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Hyperlink"/>
    <w:basedOn w:val="25"/>
    <w:unhideWhenUsed/>
    <w:qFormat/>
    <w:uiPriority w:val="99"/>
    <w:rPr>
      <w:color w:val="0563C1" w:themeColor="hyperlink"/>
      <w:u w:val="single"/>
    </w:rPr>
  </w:style>
  <w:style w:type="character" w:customStyle="1" w:styleId="27">
    <w:name w:val="日期 Char"/>
    <w:basedOn w:val="25"/>
    <w:link w:val="14"/>
    <w:semiHidden/>
    <w:qFormat/>
    <w:uiPriority w:val="99"/>
    <w:rPr>
      <w:rFonts w:ascii="仿宋" w:hAnsi="仿宋" w:eastAsia="仿宋"/>
      <w:color w:val="auto"/>
      <w:szCs w:val="24"/>
    </w:rPr>
  </w:style>
  <w:style w:type="character" w:customStyle="1" w:styleId="28">
    <w:name w:val="标题 1 Char"/>
    <w:basedOn w:val="25"/>
    <w:link w:val="3"/>
    <w:qFormat/>
    <w:uiPriority w:val="9"/>
    <w:rPr>
      <w:rFonts w:ascii="仿宋" w:hAnsi="仿宋" w:eastAsia="仿宋" w:cstheme="minorBidi"/>
      <w:b/>
      <w:bCs/>
      <w:color w:val="auto"/>
      <w:kern w:val="44"/>
      <w:sz w:val="44"/>
      <w:szCs w:val="44"/>
    </w:rPr>
  </w:style>
  <w:style w:type="character" w:customStyle="1" w:styleId="29">
    <w:name w:val="标题 2 Char"/>
    <w:basedOn w:val="25"/>
    <w:link w:val="4"/>
    <w:qFormat/>
    <w:uiPriority w:val="0"/>
    <w:rPr>
      <w:rFonts w:ascii="仿宋" w:hAnsi="仿宋" w:eastAsia="仿宋" w:cstheme="majorBidi"/>
      <w:b/>
      <w:bCs/>
      <w:color w:val="auto"/>
      <w:sz w:val="32"/>
      <w:szCs w:val="32"/>
    </w:rPr>
  </w:style>
  <w:style w:type="character" w:customStyle="1" w:styleId="30">
    <w:name w:val="标题 3 Char"/>
    <w:basedOn w:val="25"/>
    <w:link w:val="5"/>
    <w:qFormat/>
    <w:uiPriority w:val="0"/>
    <w:rPr>
      <w:rFonts w:ascii="仿宋" w:hAnsi="仿宋" w:eastAsia="仿宋"/>
      <w:b/>
      <w:bCs/>
      <w:color w:val="auto"/>
      <w:sz w:val="30"/>
      <w:szCs w:val="32"/>
    </w:rPr>
  </w:style>
  <w:style w:type="character" w:customStyle="1" w:styleId="31">
    <w:name w:val="标题 4 Char"/>
    <w:basedOn w:val="25"/>
    <w:link w:val="6"/>
    <w:qFormat/>
    <w:uiPriority w:val="9"/>
    <w:rPr>
      <w:rFonts w:ascii="仿宋" w:hAnsi="仿宋" w:eastAsia="仿宋" w:cstheme="majorBidi"/>
      <w:b/>
      <w:bCs/>
      <w:color w:val="auto"/>
      <w:sz w:val="28"/>
      <w:szCs w:val="28"/>
    </w:rPr>
  </w:style>
  <w:style w:type="character" w:customStyle="1" w:styleId="32">
    <w:name w:val="标题 5 Char"/>
    <w:basedOn w:val="25"/>
    <w:link w:val="7"/>
    <w:qFormat/>
    <w:uiPriority w:val="9"/>
    <w:rPr>
      <w:rFonts w:ascii="仿宋" w:hAnsi="仿宋" w:eastAsia="仿宋"/>
      <w:b/>
      <w:bCs/>
      <w:color w:val="auto"/>
      <w:szCs w:val="28"/>
    </w:rPr>
  </w:style>
  <w:style w:type="character" w:customStyle="1" w:styleId="33">
    <w:name w:val="书籍标题1"/>
    <w:basedOn w:val="25"/>
    <w:qFormat/>
    <w:uiPriority w:val="33"/>
    <w:rPr>
      <w:b/>
      <w:bCs/>
      <w:i/>
      <w:iCs/>
      <w:spacing w:val="5"/>
    </w:rPr>
  </w:style>
  <w:style w:type="paragraph" w:styleId="34">
    <w:name w:val="List Paragraph"/>
    <w:basedOn w:val="1"/>
    <w:link w:val="35"/>
    <w:qFormat/>
    <w:uiPriority w:val="0"/>
    <w:pPr>
      <w:spacing w:line="360" w:lineRule="auto"/>
      <w:ind w:firstLine="420" w:firstLineChars="200"/>
    </w:pPr>
    <w:rPr>
      <w:rFonts w:ascii="Times New Roman" w:hAnsi="Times New Roman" w:eastAsia="宋体"/>
      <w:kern w:val="0"/>
      <w:sz w:val="20"/>
      <w:szCs w:val="20"/>
    </w:rPr>
  </w:style>
  <w:style w:type="character" w:customStyle="1" w:styleId="35">
    <w:name w:val="列出段落 Char"/>
    <w:link w:val="34"/>
    <w:qFormat/>
    <w:uiPriority w:val="0"/>
    <w:rPr>
      <w:rFonts w:ascii="Times New Roman" w:hAnsi="Times New Roman"/>
      <w:color w:val="auto"/>
      <w:kern w:val="0"/>
      <w:sz w:val="20"/>
    </w:rPr>
  </w:style>
  <w:style w:type="character" w:customStyle="1" w:styleId="36">
    <w:name w:val="页脚 Char"/>
    <w:basedOn w:val="25"/>
    <w:link w:val="16"/>
    <w:qFormat/>
    <w:uiPriority w:val="99"/>
    <w:rPr>
      <w:rFonts w:ascii="仿宋" w:hAnsi="仿宋" w:eastAsia="仿宋"/>
      <w:color w:val="auto"/>
      <w:sz w:val="18"/>
      <w:szCs w:val="18"/>
    </w:rPr>
  </w:style>
  <w:style w:type="character" w:customStyle="1" w:styleId="37">
    <w:name w:val="页眉 Char"/>
    <w:basedOn w:val="25"/>
    <w:link w:val="17"/>
    <w:qFormat/>
    <w:uiPriority w:val="99"/>
    <w:rPr>
      <w:rFonts w:ascii="仿宋" w:hAnsi="仿宋" w:eastAsia="仿宋"/>
      <w:color w:val="auto"/>
      <w:sz w:val="18"/>
      <w:szCs w:val="18"/>
    </w:rPr>
  </w:style>
  <w:style w:type="paragraph" w:customStyle="1" w:styleId="38">
    <w:name w:val="列出段落1"/>
    <w:basedOn w:val="1"/>
    <w:qFormat/>
    <w:uiPriority w:val="0"/>
    <w:pPr>
      <w:ind w:firstLine="420" w:firstLineChars="200"/>
    </w:pPr>
    <w:rPr>
      <w:rFonts w:ascii="Calibri" w:hAnsi="Calibri" w:eastAsia="宋体"/>
      <w:sz w:val="21"/>
      <w:szCs w:val="22"/>
    </w:rPr>
  </w:style>
  <w:style w:type="character" w:customStyle="1" w:styleId="39">
    <w:name w:val="正文文本缩进 Char"/>
    <w:basedOn w:val="25"/>
    <w:link w:val="10"/>
    <w:qFormat/>
    <w:uiPriority w:val="99"/>
    <w:rPr>
      <w:rFonts w:ascii="仿宋" w:hAnsi="仿宋" w:eastAsia="仿宋"/>
      <w:color w:val="auto"/>
      <w:szCs w:val="24"/>
    </w:rPr>
  </w:style>
  <w:style w:type="paragraph" w:customStyle="1" w:styleId="40">
    <w:name w:val="目录 31"/>
    <w:basedOn w:val="1"/>
    <w:next w:val="1"/>
    <w:semiHidden/>
    <w:qFormat/>
    <w:uiPriority w:val="0"/>
    <w:pPr>
      <w:spacing w:before="100" w:beforeAutospacing="1" w:after="100" w:afterAutospacing="1"/>
      <w:ind w:left="840" w:leftChars="400"/>
    </w:pPr>
    <w:rPr>
      <w:rFonts w:cs="宋体"/>
    </w:rPr>
  </w:style>
  <w:style w:type="paragraph" w:customStyle="1" w:styleId="41">
    <w:name w:val="列出段落2"/>
    <w:basedOn w:val="1"/>
    <w:qFormat/>
    <w:uiPriority w:val="0"/>
    <w:pPr>
      <w:spacing w:line="360" w:lineRule="auto"/>
      <w:ind w:firstLine="420" w:firstLineChars="200"/>
    </w:pPr>
    <w:rPr>
      <w:rFonts w:ascii="Times New Roman" w:hAnsi="Times New Roman"/>
      <w:kern w:val="0"/>
      <w:sz w:val="20"/>
      <w:szCs w:val="20"/>
    </w:rPr>
  </w:style>
  <w:style w:type="paragraph" w:customStyle="1" w:styleId="42">
    <w:name w:val="TOC 标题1"/>
    <w:basedOn w:val="3"/>
    <w:next w:val="1"/>
    <w:unhideWhenUsed/>
    <w:qFormat/>
    <w:uiPriority w:val="39"/>
    <w:pPr>
      <w:spacing w:before="240" w:after="0" w:line="259" w:lineRule="auto"/>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43">
    <w:name w:val="批注框文本 Char"/>
    <w:basedOn w:val="25"/>
    <w:link w:val="15"/>
    <w:semiHidden/>
    <w:qFormat/>
    <w:uiPriority w:val="99"/>
    <w:rPr>
      <w:rFonts w:ascii="仿宋" w:hAnsi="仿宋" w:eastAsia="仿宋"/>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numbering" Target="numbering.xml"/><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6D3CB2-C9C6-4EC2-90DA-326D30B62D7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30</Pages>
  <Words>10349</Words>
  <Characters>10846</Characters>
  <Lines>142</Lines>
  <Paragraphs>40</Paragraphs>
  <TotalTime>4</TotalTime>
  <ScaleCrop>false</ScaleCrop>
  <LinksUpToDate>false</LinksUpToDate>
  <CharactersWithSpaces>11061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2021-05-04T00:58:00Z</dcterms:created>
  <dc:creator>Renhui</dc:creator>
  <cp:lastModifiedBy>winpgh</cp:lastModifiedBy>
  <dcterms:modified xsi:type="dcterms:W3CDTF">2023-02-19T19:14:07Z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EE1514A49AAA4BA3BD9905C2475AD8CB</vt:lpwstr>
  </property>
</Properties>
</file>