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仿宋" w:hAnsi="仿宋" w:eastAsia="仿宋"/>
          <w:b/>
          <w:bCs/>
          <w:sz w:val="36"/>
          <w:szCs w:val="40"/>
        </w:rPr>
      </w:pPr>
      <w:r>
        <w:rPr>
          <w:rFonts w:hint="eastAsia" w:ascii="仿宋" w:hAnsi="仿宋" w:eastAsia="仿宋"/>
          <w:b/>
          <w:bCs/>
          <w:sz w:val="44"/>
          <w:szCs w:val="48"/>
        </w:rPr>
        <w:t>增值服务商管理办法</w:t>
      </w:r>
      <w:r>
        <w:rPr>
          <w:rFonts w:hint="eastAsia" w:ascii="仿宋" w:hAnsi="仿宋" w:eastAsia="仿宋"/>
          <w:b/>
          <w:bCs/>
          <w:sz w:val="36"/>
          <w:szCs w:val="40"/>
        </w:rPr>
        <w:t>（初）</w:t>
      </w:r>
    </w:p>
    <w:p>
      <w:pPr>
        <w:spacing w:line="480" w:lineRule="auto"/>
        <w:jc w:val="right"/>
        <w:rPr>
          <w:rFonts w:ascii="仿宋" w:hAnsi="仿宋" w:eastAsia="仿宋"/>
          <w:b/>
          <w:bCs/>
          <w:sz w:val="32"/>
          <w:szCs w:val="36"/>
        </w:rPr>
      </w:pPr>
      <w:r>
        <w:rPr>
          <w:rFonts w:hint="eastAsia" w:ascii="仿宋" w:hAnsi="仿宋" w:eastAsia="仿宋"/>
          <w:b/>
          <w:bCs/>
          <w:sz w:val="24"/>
          <w:szCs w:val="28"/>
        </w:rPr>
        <w:t>-</w:t>
      </w:r>
      <w:r>
        <w:rPr>
          <w:rFonts w:ascii="仿宋" w:hAnsi="仿宋" w:eastAsia="仿宋"/>
          <w:b/>
          <w:bCs/>
          <w:sz w:val="24"/>
          <w:szCs w:val="28"/>
        </w:rPr>
        <w:t>--</w:t>
      </w:r>
      <w:r>
        <w:rPr>
          <w:rFonts w:hint="eastAsia" w:ascii="仿宋" w:hAnsi="仿宋" w:eastAsia="仿宋"/>
          <w:b/>
          <w:bCs/>
          <w:sz w:val="24"/>
          <w:szCs w:val="28"/>
        </w:rPr>
        <w:t>基于平台管理、不对增值服务商进行二次封装</w:t>
      </w:r>
    </w:p>
    <w:p>
      <w:pPr>
        <w:pStyle w:val="2"/>
        <w:numPr>
          <w:ilvl w:val="0"/>
          <w:numId w:val="1"/>
        </w:numPr>
      </w:pPr>
      <w:r>
        <w:rPr>
          <w:rFonts w:hint="eastAsia"/>
        </w:rPr>
        <w:t>总则</w:t>
      </w:r>
    </w:p>
    <w:p>
      <w:pPr>
        <w:pStyle w:val="3"/>
      </w:pPr>
      <w:r>
        <w:rPr>
          <w:rFonts w:hint="eastAsia"/>
        </w:rPr>
        <w:t>第一条 目的和管理原则</w:t>
      </w:r>
    </w:p>
    <w:p>
      <w:pPr>
        <w:spacing w:line="360" w:lineRule="auto"/>
        <w:ind w:firstLine="960" w:firstLineChars="400"/>
        <w:rPr>
          <w:rFonts w:ascii="仿宋" w:hAnsi="仿宋" w:eastAsia="仿宋"/>
          <w:sz w:val="24"/>
          <w:szCs w:val="24"/>
        </w:rPr>
      </w:pPr>
      <w:r>
        <w:rPr>
          <w:rFonts w:hint="eastAsia" w:ascii="仿宋" w:hAnsi="仿宋" w:eastAsia="仿宋"/>
          <w:sz w:val="24"/>
          <w:szCs w:val="24"/>
        </w:rPr>
        <w:t>为加强对产品增值服务商的统一管理，规范增值服务商行为，确保</w:t>
      </w:r>
      <w:r>
        <w:rPr>
          <w:rFonts w:hint="eastAsia" w:ascii="仿宋" w:hAnsi="仿宋" w:eastAsia="仿宋"/>
          <w:sz w:val="24"/>
          <w:szCs w:val="24"/>
          <w:lang w:val="en-US" w:eastAsia="zh-CN"/>
        </w:rPr>
        <w:t>公司</w:t>
      </w:r>
      <w:r>
        <w:rPr>
          <w:rFonts w:hint="eastAsia" w:ascii="仿宋" w:hAnsi="仿宋" w:eastAsia="仿宋"/>
          <w:sz w:val="24"/>
          <w:szCs w:val="24"/>
        </w:rPr>
        <w:t>产品在物流业务范围内的顺利推广，秉持合理性、价格一致性、区域性、谨慎性、长期性、互惠互利性等原则，制定本管理办法。</w:t>
      </w:r>
    </w:p>
    <w:p>
      <w:pPr>
        <w:pStyle w:val="3"/>
      </w:pPr>
      <w:r>
        <w:rPr>
          <w:rFonts w:hint="eastAsia"/>
        </w:rPr>
        <w:t>第二条 适用范围</w:t>
      </w:r>
    </w:p>
    <w:p>
      <w:pPr>
        <w:spacing w:line="360" w:lineRule="auto"/>
        <w:rPr>
          <w:rFonts w:ascii="仿宋" w:hAnsi="仿宋" w:eastAsia="仿宋"/>
          <w:sz w:val="24"/>
          <w:szCs w:val="24"/>
        </w:rPr>
      </w:pPr>
      <w:r>
        <w:rPr>
          <w:rFonts w:hint="eastAsia"/>
        </w:rPr>
        <w:t xml:space="preserve"> </w:t>
      </w:r>
      <w:r>
        <w:t xml:space="preserve">        </w:t>
      </w:r>
      <w:r>
        <w:rPr>
          <w:rFonts w:hint="eastAsia" w:ascii="仿宋" w:hAnsi="仿宋" w:eastAsia="仿宋"/>
          <w:sz w:val="24"/>
          <w:szCs w:val="24"/>
        </w:rPr>
        <w:t>本</w:t>
      </w:r>
      <w:r>
        <w:rPr>
          <w:rFonts w:hint="eastAsia" w:ascii="仿宋" w:hAnsi="仿宋" w:eastAsia="仿宋"/>
          <w:sz w:val="24"/>
          <w:szCs w:val="24"/>
          <w:lang w:val="en-US" w:eastAsia="zh-CN"/>
        </w:rPr>
        <w:t xml:space="preserve">  </w:t>
      </w:r>
      <w:r>
        <w:rPr>
          <w:rFonts w:hint="eastAsia" w:ascii="仿宋" w:hAnsi="仿宋" w:eastAsia="仿宋"/>
          <w:sz w:val="24"/>
          <w:szCs w:val="24"/>
        </w:rPr>
        <w:t>管理办法适用于</w:t>
      </w:r>
      <w:r>
        <w:rPr>
          <w:rFonts w:hint="eastAsia" w:ascii="仿宋" w:hAnsi="仿宋" w:eastAsia="仿宋"/>
          <w:sz w:val="24"/>
          <w:szCs w:val="24"/>
          <w:lang w:val="en-US" w:eastAsia="zh-CN"/>
        </w:rPr>
        <w:t>交科信用管理有限公司（以下简称“交科信用”）打造的道路运输核验公共信息服务产品的指</w:t>
      </w:r>
      <w:r>
        <w:rPr>
          <w:rFonts w:hint="eastAsia" w:ascii="仿宋" w:hAnsi="仿宋" w:eastAsia="仿宋"/>
          <w:sz w:val="24"/>
          <w:szCs w:val="24"/>
        </w:rPr>
        <w:t>定增值服务商。</w:t>
      </w:r>
    </w:p>
    <w:p>
      <w:pPr>
        <w:pStyle w:val="3"/>
      </w:pPr>
      <w:r>
        <w:rPr>
          <w:rFonts w:hint="eastAsia"/>
        </w:rPr>
        <w:t>第三条 内容概要</w:t>
      </w:r>
    </w:p>
    <w:p>
      <w:pPr>
        <w:spacing w:line="360" w:lineRule="auto"/>
        <w:rPr>
          <w:rFonts w:ascii="仿宋" w:hAnsi="仿宋" w:eastAsia="仿宋"/>
          <w:sz w:val="24"/>
          <w:szCs w:val="24"/>
        </w:rPr>
      </w:pPr>
      <w:r>
        <w:rPr>
          <w:rFonts w:hint="eastAsia"/>
        </w:rPr>
        <w:t xml:space="preserve"> </w:t>
      </w:r>
      <w:r>
        <w:t xml:space="preserve">        </w:t>
      </w:r>
      <w:r>
        <w:rPr>
          <w:rFonts w:hint="eastAsia" w:ascii="仿宋" w:hAnsi="仿宋" w:eastAsia="仿宋"/>
          <w:sz w:val="24"/>
          <w:szCs w:val="24"/>
        </w:rPr>
        <w:t>本管理办法包括增值服务商的资格要求与权利义务、合作模式与商务约定、增值服务商的违规处罚与退出机制、增值服务商考核机制、保密条款等部分。</w:t>
      </w:r>
    </w:p>
    <w:p>
      <w:pPr>
        <w:pStyle w:val="3"/>
      </w:pPr>
      <w:r>
        <w:rPr>
          <w:rFonts w:hint="eastAsia"/>
        </w:rPr>
        <w:t>第四条</w:t>
      </w:r>
      <w:r>
        <w:t xml:space="preserve"> </w:t>
      </w:r>
      <w:r>
        <w:rPr>
          <w:rFonts w:hint="eastAsia"/>
        </w:rPr>
        <w:t>术语</w:t>
      </w:r>
    </w:p>
    <w:p>
      <w:pPr>
        <w:spacing w:line="360" w:lineRule="auto"/>
        <w:ind w:firstLine="960" w:firstLineChars="400"/>
        <w:rPr>
          <w:rFonts w:ascii="仿宋" w:hAnsi="仿宋" w:eastAsia="仿宋"/>
          <w:sz w:val="24"/>
          <w:szCs w:val="24"/>
        </w:rPr>
      </w:pPr>
      <w:r>
        <w:rPr>
          <w:rFonts w:hint="eastAsia" w:ascii="仿宋" w:hAnsi="仿宋" w:eastAsia="仿宋"/>
          <w:sz w:val="24"/>
          <w:szCs w:val="24"/>
        </w:rPr>
        <w:t>增值服务商：指经</w:t>
      </w:r>
      <w:r>
        <w:rPr>
          <w:rFonts w:hint="eastAsia" w:ascii="仿宋" w:hAnsi="仿宋" w:eastAsia="仿宋"/>
          <w:sz w:val="24"/>
          <w:szCs w:val="24"/>
          <w:lang w:val="en-US" w:eastAsia="zh-CN"/>
        </w:rPr>
        <w:t>交科信用</w:t>
      </w:r>
      <w:r>
        <w:rPr>
          <w:rFonts w:hint="eastAsia" w:ascii="仿宋" w:hAnsi="仿宋" w:eastAsia="仿宋"/>
          <w:sz w:val="24"/>
          <w:szCs w:val="24"/>
        </w:rPr>
        <w:t>授权的、在指定区域内面向市场提供产品和服务的公司。</w:t>
      </w:r>
    </w:p>
    <w:p>
      <w:pPr>
        <w:spacing w:line="360" w:lineRule="auto"/>
        <w:ind w:firstLine="960" w:firstLineChars="400"/>
        <w:rPr>
          <w:rFonts w:ascii="仿宋" w:hAnsi="仿宋" w:eastAsia="仿宋"/>
          <w:sz w:val="24"/>
          <w:szCs w:val="24"/>
        </w:rPr>
      </w:pPr>
      <w:r>
        <w:rPr>
          <w:rFonts w:hint="eastAsia" w:ascii="仿宋" w:hAnsi="仿宋" w:eastAsia="仿宋"/>
          <w:sz w:val="24"/>
          <w:szCs w:val="24"/>
        </w:rPr>
        <w:t>产品：指</w:t>
      </w:r>
      <w:r>
        <w:rPr>
          <w:rFonts w:hint="eastAsia" w:ascii="仿宋" w:hAnsi="仿宋" w:eastAsia="仿宋"/>
          <w:sz w:val="24"/>
          <w:szCs w:val="24"/>
          <w:lang w:val="en-US" w:eastAsia="zh-CN"/>
        </w:rPr>
        <w:t>交科信用</w:t>
      </w:r>
      <w:r>
        <w:rPr>
          <w:rFonts w:hint="eastAsia" w:ascii="仿宋" w:hAnsi="仿宋" w:eastAsia="仿宋"/>
          <w:sz w:val="24"/>
          <w:szCs w:val="24"/>
        </w:rPr>
        <w:t>授权增值服务商在全国范围内开展增值服务活动所依赖的产品。</w:t>
      </w:r>
    </w:p>
    <w:p>
      <w:pPr>
        <w:spacing w:line="360" w:lineRule="auto"/>
        <w:ind w:firstLine="960" w:firstLineChars="400"/>
        <w:rPr>
          <w:rFonts w:ascii="仿宋" w:hAnsi="仿宋" w:eastAsia="仿宋"/>
          <w:sz w:val="24"/>
          <w:szCs w:val="24"/>
        </w:rPr>
      </w:pPr>
      <w:r>
        <w:rPr>
          <w:rFonts w:hint="eastAsia" w:ascii="仿宋" w:hAnsi="仿宋" w:eastAsia="仿宋"/>
          <w:sz w:val="24"/>
          <w:szCs w:val="24"/>
        </w:rPr>
        <w:t>终端用户：指增值服务商提供指定产品服务的用户，且该用户不得基于市场商业行为再次处理、共享、转让、公开指定产品服务。</w:t>
      </w:r>
    </w:p>
    <w:p>
      <w:pPr>
        <w:spacing w:line="360" w:lineRule="auto"/>
        <w:ind w:firstLine="960" w:firstLineChars="400"/>
        <w:rPr>
          <w:rFonts w:ascii="仿宋" w:hAnsi="仿宋" w:eastAsia="仿宋"/>
          <w:sz w:val="24"/>
          <w:szCs w:val="24"/>
        </w:rPr>
      </w:pPr>
      <w:r>
        <w:rPr>
          <w:rFonts w:hint="eastAsia" w:ascii="仿宋" w:hAnsi="仿宋" w:eastAsia="仿宋"/>
          <w:sz w:val="24"/>
          <w:szCs w:val="24"/>
        </w:rPr>
        <w:t>终端用户服务合同：指增值服务商与终端用户签字盖章生效的、按照</w:t>
      </w:r>
      <w:r>
        <w:rPr>
          <w:rFonts w:hint="eastAsia" w:ascii="仿宋" w:hAnsi="仿宋" w:eastAsia="仿宋"/>
          <w:sz w:val="24"/>
          <w:szCs w:val="24"/>
          <w:lang w:val="en-US" w:eastAsia="zh-CN"/>
        </w:rPr>
        <w:t>交科信用</w:t>
      </w:r>
      <w:r>
        <w:rPr>
          <w:rFonts w:hint="eastAsia" w:ascii="仿宋" w:hAnsi="仿宋" w:eastAsia="仿宋"/>
          <w:sz w:val="24"/>
          <w:szCs w:val="24"/>
        </w:rPr>
        <w:t>规定的市场统一价格签署的、增值服务商将提供相应服务的合同。</w:t>
      </w:r>
    </w:p>
    <w:p>
      <w:pPr>
        <w:pStyle w:val="3"/>
      </w:pPr>
      <w:r>
        <w:rPr>
          <w:rFonts w:hint="eastAsia"/>
        </w:rPr>
        <w:t>第五条 其它</w:t>
      </w:r>
    </w:p>
    <w:p>
      <w:pPr>
        <w:spacing w:line="360" w:lineRule="auto"/>
        <w:rPr>
          <w:rFonts w:ascii="仿宋" w:hAnsi="仿宋" w:eastAsia="仿宋"/>
          <w:sz w:val="24"/>
          <w:szCs w:val="24"/>
        </w:rPr>
      </w:pPr>
      <w:r>
        <w:rPr>
          <w:rFonts w:hint="eastAsia"/>
        </w:rPr>
        <w:t xml:space="preserve"> </w:t>
      </w:r>
      <w:r>
        <w:t xml:space="preserve">        </w:t>
      </w:r>
      <w:r>
        <w:rPr>
          <w:rFonts w:hint="eastAsia" w:ascii="仿宋" w:hAnsi="仿宋" w:eastAsia="仿宋"/>
          <w:sz w:val="24"/>
          <w:szCs w:val="24"/>
        </w:rPr>
        <w:t>本管理办法是《产品增值服务商合作协议》相辅相成且不可或缺的附件，在任何场景或形式下都具有同等效力。</w:t>
      </w:r>
    </w:p>
    <w:p>
      <w:pPr>
        <w:spacing w:line="360" w:lineRule="auto"/>
        <w:ind w:firstLine="960" w:firstLineChars="400"/>
        <w:rPr>
          <w:rFonts w:ascii="仿宋" w:hAnsi="仿宋" w:eastAsia="仿宋"/>
          <w:sz w:val="24"/>
          <w:szCs w:val="24"/>
        </w:rPr>
      </w:pPr>
      <w:r>
        <w:rPr>
          <w:rFonts w:hint="eastAsia" w:ascii="仿宋" w:hAnsi="仿宋" w:eastAsia="仿宋"/>
          <w:sz w:val="24"/>
          <w:szCs w:val="24"/>
        </w:rPr>
        <w:t>增值服务商</w:t>
      </w:r>
      <w:r>
        <w:rPr>
          <w:rFonts w:ascii="仿宋" w:hAnsi="仿宋" w:eastAsia="仿宋"/>
          <w:sz w:val="24"/>
          <w:szCs w:val="24"/>
        </w:rPr>
        <w:t>代理期限为三年</w:t>
      </w:r>
      <w:r>
        <w:rPr>
          <w:rFonts w:hint="eastAsia" w:ascii="仿宋" w:hAnsi="仿宋" w:eastAsia="仿宋"/>
          <w:sz w:val="24"/>
          <w:szCs w:val="24"/>
        </w:rPr>
        <w:t>，</w:t>
      </w:r>
      <w:r>
        <w:rPr>
          <w:rFonts w:ascii="仿宋" w:hAnsi="仿宋" w:eastAsia="仿宋"/>
          <w:sz w:val="24"/>
          <w:szCs w:val="24"/>
        </w:rPr>
        <w:t>各地（市）、区域原则上只设一名增值服务商。</w:t>
      </w:r>
      <w:r>
        <w:rPr>
          <w:rFonts w:hint="eastAsia" w:ascii="仿宋" w:hAnsi="仿宋" w:eastAsia="仿宋"/>
          <w:sz w:val="24"/>
          <w:szCs w:val="24"/>
        </w:rPr>
        <w:t>原则上不允许发展二级服务商。</w:t>
      </w:r>
    </w:p>
    <w:p>
      <w:pPr>
        <w:pStyle w:val="2"/>
      </w:pPr>
      <w:r>
        <w:rPr>
          <w:rFonts w:hint="eastAsia"/>
        </w:rPr>
        <w:t>第二章 增值服务商的资格要求与权利义务</w:t>
      </w:r>
    </w:p>
    <w:p>
      <w:pPr>
        <w:pStyle w:val="3"/>
      </w:pPr>
      <w:r>
        <w:rPr>
          <w:rFonts w:hint="eastAsia"/>
        </w:rPr>
        <w:t>第六条 增值服务商的资格要求</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（一） 具有独立法人资格，具备良好的经营规模，所辖区域业务运作业绩好，有良好的资信能力和商业信誉。</w:t>
      </w:r>
    </w:p>
    <w:p>
      <w:pPr>
        <w:pStyle w:val="11"/>
        <w:numPr>
          <w:ilvl w:val="0"/>
          <w:numId w:val="2"/>
        </w:numPr>
        <w:spacing w:line="360" w:lineRule="auto"/>
        <w:ind w:firstLineChars="0"/>
        <w:rPr>
          <w:rFonts w:ascii="仿宋" w:hAnsi="仿宋" w:eastAsia="仿宋"/>
          <w:sz w:val="24"/>
          <w:szCs w:val="24"/>
        </w:rPr>
      </w:pPr>
      <w:r>
        <w:rPr>
          <w:rFonts w:hint="eastAsia" w:ascii="仿宋" w:hAnsi="仿宋" w:eastAsia="仿宋"/>
          <w:sz w:val="24"/>
          <w:szCs w:val="24"/>
        </w:rPr>
        <w:t xml:space="preserve"> 具备3年以上物流行业经验和负责区域内的丰富客户资源。</w:t>
      </w:r>
    </w:p>
    <w:p>
      <w:pPr>
        <w:pStyle w:val="11"/>
        <w:numPr>
          <w:ilvl w:val="0"/>
          <w:numId w:val="2"/>
        </w:numPr>
        <w:spacing w:line="360" w:lineRule="auto"/>
        <w:ind w:firstLineChars="0"/>
        <w:rPr>
          <w:rFonts w:ascii="仿宋" w:hAnsi="仿宋" w:eastAsia="仿宋"/>
          <w:sz w:val="24"/>
          <w:szCs w:val="24"/>
        </w:rPr>
      </w:pPr>
      <w:r>
        <w:rPr>
          <w:rFonts w:hint="eastAsia" w:ascii="仿宋" w:hAnsi="仿宋" w:eastAsia="仿宋"/>
          <w:sz w:val="24"/>
          <w:szCs w:val="24"/>
        </w:rPr>
        <w:t xml:space="preserve"> 认同</w:t>
      </w:r>
      <w:r>
        <w:rPr>
          <w:rFonts w:hint="eastAsia" w:ascii="仿宋" w:hAnsi="仿宋" w:eastAsia="仿宋"/>
          <w:sz w:val="24"/>
          <w:szCs w:val="24"/>
          <w:lang w:val="en-US" w:eastAsia="zh-CN"/>
        </w:rPr>
        <w:t>道路运输核验公共服务</w:t>
      </w:r>
      <w:r>
        <w:rPr>
          <w:rFonts w:hint="eastAsia" w:ascii="仿宋" w:hAnsi="仿宋" w:eastAsia="仿宋"/>
          <w:sz w:val="24"/>
          <w:szCs w:val="24"/>
        </w:rPr>
        <w:t>产品，熟悉物流行业和产品应用场景。</w:t>
      </w:r>
      <w:r>
        <w:rPr>
          <w:rFonts w:ascii="仿宋" w:hAnsi="仿宋" w:eastAsia="仿宋"/>
          <w:sz w:val="24"/>
          <w:szCs w:val="24"/>
        </w:rPr>
        <w:t xml:space="preserve"> </w:t>
      </w:r>
    </w:p>
    <w:p>
      <w:pPr>
        <w:pStyle w:val="11"/>
        <w:numPr>
          <w:ilvl w:val="0"/>
          <w:numId w:val="2"/>
        </w:numPr>
        <w:spacing w:line="360" w:lineRule="auto"/>
        <w:ind w:firstLineChars="0"/>
        <w:rPr>
          <w:rFonts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各增值代理商之间无恶性竞争，在所辖管区域内进行各自业务运作。</w:t>
      </w:r>
    </w:p>
    <w:p>
      <w:pPr>
        <w:widowControl/>
        <w:autoSpaceDE w:val="0"/>
        <w:autoSpaceDN w:val="0"/>
        <w:adjustRightInd w:val="0"/>
        <w:spacing w:after="50" w:line="360" w:lineRule="auto"/>
        <w:ind w:firstLine="480" w:firstLineChars="200"/>
        <w:rPr>
          <w:rFonts w:ascii="仿宋" w:hAnsi="仿宋" w:eastAsia="仿宋" w:cs="仿宋"/>
          <w:sz w:val="24"/>
          <w:szCs w:val="24"/>
        </w:rPr>
      </w:pPr>
      <w:r>
        <w:rPr>
          <w:rFonts w:hint="eastAsia" w:ascii="仿宋" w:hAnsi="仿宋" w:eastAsia="仿宋" w:cs="仿宋"/>
          <w:sz w:val="24"/>
          <w:szCs w:val="24"/>
        </w:rPr>
        <w:t>（五） 增值服务商需填写申请表格并提交相应的资质证书，经</w:t>
      </w:r>
      <w:r>
        <w:rPr>
          <w:rFonts w:hint="eastAsia" w:ascii="仿宋" w:hAnsi="仿宋" w:eastAsia="仿宋" w:cs="仿宋"/>
          <w:sz w:val="24"/>
          <w:szCs w:val="24"/>
          <w:lang w:eastAsia="zh-CN"/>
        </w:rPr>
        <w:t>交科信用</w:t>
      </w:r>
      <w:r>
        <w:rPr>
          <w:rFonts w:hint="eastAsia" w:ascii="仿宋" w:hAnsi="仿宋" w:eastAsia="仿宋" w:cs="仿宋"/>
          <w:sz w:val="24"/>
          <w:szCs w:val="24"/>
        </w:rPr>
        <w:t>审核通过后签署</w:t>
      </w:r>
      <w:r>
        <w:rPr>
          <w:rFonts w:hint="eastAsia" w:ascii="仿宋" w:hAnsi="仿宋" w:eastAsia="仿宋"/>
          <w:sz w:val="24"/>
          <w:szCs w:val="24"/>
        </w:rPr>
        <w:t>《产品增值服务商合作协议》</w:t>
      </w:r>
      <w:r>
        <w:rPr>
          <w:rFonts w:hint="eastAsia" w:ascii="仿宋" w:hAnsi="仿宋" w:eastAsia="仿宋" w:cs="仿宋"/>
          <w:sz w:val="24"/>
          <w:szCs w:val="24"/>
        </w:rPr>
        <w:t>，成为</w:t>
      </w:r>
      <w:r>
        <w:rPr>
          <w:rFonts w:hint="eastAsia" w:ascii="仿宋" w:hAnsi="仿宋" w:eastAsia="仿宋" w:cs="仿宋"/>
          <w:sz w:val="24"/>
          <w:szCs w:val="24"/>
          <w:lang w:eastAsia="zh-CN"/>
        </w:rPr>
        <w:t>交科信用</w:t>
      </w:r>
      <w:r>
        <w:rPr>
          <w:rFonts w:hint="eastAsia" w:ascii="仿宋" w:hAnsi="仿宋" w:eastAsia="仿宋" w:cs="仿宋"/>
          <w:sz w:val="24"/>
          <w:szCs w:val="24"/>
        </w:rPr>
        <w:t>指定的增值服务商。</w:t>
      </w:r>
    </w:p>
    <w:p>
      <w:pPr>
        <w:pStyle w:val="3"/>
      </w:pPr>
      <w:r>
        <w:rPr>
          <w:rFonts w:hint="eastAsia"/>
        </w:rPr>
        <w:t>第七条 增值服务商的权利</w:t>
      </w:r>
    </w:p>
    <w:p>
      <w:pPr>
        <w:widowControl/>
        <w:autoSpaceDE w:val="0"/>
        <w:autoSpaceDN w:val="0"/>
        <w:adjustRightInd w:val="0"/>
        <w:spacing w:after="50" w:line="360" w:lineRule="auto"/>
        <w:ind w:firstLine="480" w:firstLineChars="200"/>
        <w:rPr>
          <w:rFonts w:ascii="仿宋" w:hAnsi="仿宋" w:eastAsia="仿宋" w:cs="仿宋"/>
          <w:sz w:val="24"/>
          <w:szCs w:val="24"/>
        </w:rPr>
      </w:pPr>
      <w:r>
        <w:rPr>
          <w:rFonts w:hint="eastAsia" w:ascii="仿宋" w:hAnsi="仿宋" w:eastAsia="仿宋" w:cs="仿宋"/>
          <w:sz w:val="24"/>
          <w:szCs w:val="24"/>
        </w:rPr>
        <w:t>（一） 增值服务商拥有对</w:t>
      </w:r>
      <w:r>
        <w:rPr>
          <w:rFonts w:hint="eastAsia" w:ascii="仿宋" w:hAnsi="仿宋" w:eastAsia="仿宋" w:cs="仿宋"/>
          <w:sz w:val="24"/>
          <w:szCs w:val="24"/>
          <w:lang w:eastAsia="zh-CN"/>
        </w:rPr>
        <w:t>交科信用</w:t>
      </w:r>
      <w:r>
        <w:rPr>
          <w:rFonts w:hint="eastAsia" w:ascii="仿宋" w:hAnsi="仿宋" w:eastAsia="仿宋" w:cs="仿宋"/>
          <w:sz w:val="24"/>
          <w:szCs w:val="24"/>
        </w:rPr>
        <w:t>指定产品开展市场推广的权利。</w:t>
      </w:r>
    </w:p>
    <w:p>
      <w:pPr>
        <w:widowControl/>
        <w:autoSpaceDE w:val="0"/>
        <w:autoSpaceDN w:val="0"/>
        <w:adjustRightInd w:val="0"/>
        <w:spacing w:after="50" w:line="360" w:lineRule="auto"/>
        <w:ind w:firstLine="480" w:firstLineChars="200"/>
        <w:rPr>
          <w:rFonts w:ascii="仿宋" w:hAnsi="仿宋" w:eastAsia="仿宋" w:cs="仿宋"/>
          <w:sz w:val="24"/>
          <w:szCs w:val="24"/>
        </w:rPr>
      </w:pPr>
      <w:r>
        <w:rPr>
          <w:rFonts w:hint="eastAsia" w:ascii="仿宋" w:hAnsi="仿宋" w:eastAsia="仿宋" w:cs="仿宋"/>
          <w:sz w:val="24"/>
          <w:szCs w:val="24"/>
        </w:rPr>
        <w:t>（二） 增值服务商在进行市场推广时有权要求</w:t>
      </w:r>
      <w:r>
        <w:rPr>
          <w:rFonts w:hint="eastAsia" w:ascii="仿宋" w:hAnsi="仿宋" w:eastAsia="仿宋" w:cs="仿宋"/>
          <w:sz w:val="24"/>
          <w:szCs w:val="24"/>
          <w:lang w:eastAsia="zh-CN"/>
        </w:rPr>
        <w:t>交科信用</w:t>
      </w:r>
      <w:r>
        <w:rPr>
          <w:rFonts w:hint="eastAsia" w:ascii="仿宋" w:hAnsi="仿宋" w:eastAsia="仿宋" w:cs="仿宋"/>
          <w:sz w:val="24"/>
          <w:szCs w:val="24"/>
        </w:rPr>
        <w:t>提供产品层面的合理化建议。</w:t>
      </w:r>
    </w:p>
    <w:p>
      <w:pPr>
        <w:widowControl/>
        <w:autoSpaceDE w:val="0"/>
        <w:autoSpaceDN w:val="0"/>
        <w:adjustRightInd w:val="0"/>
        <w:spacing w:after="50" w:line="360" w:lineRule="auto"/>
        <w:ind w:firstLine="480" w:firstLineChars="200"/>
        <w:rPr>
          <w:rFonts w:ascii="仿宋" w:hAnsi="仿宋" w:eastAsia="仿宋" w:cs="仿宋"/>
          <w:sz w:val="24"/>
          <w:szCs w:val="24"/>
        </w:rPr>
      </w:pPr>
      <w:r>
        <w:rPr>
          <w:rFonts w:hint="eastAsia" w:ascii="仿宋" w:hAnsi="仿宋" w:eastAsia="仿宋" w:cs="仿宋"/>
          <w:sz w:val="24"/>
          <w:szCs w:val="24"/>
        </w:rPr>
        <w:t>（三） 增值服务商有权要求</w:t>
      </w:r>
      <w:r>
        <w:rPr>
          <w:rFonts w:hint="eastAsia" w:ascii="仿宋" w:hAnsi="仿宋" w:eastAsia="仿宋" w:cs="仿宋"/>
          <w:sz w:val="24"/>
          <w:szCs w:val="24"/>
          <w:lang w:eastAsia="zh-CN"/>
        </w:rPr>
        <w:t>交科信用</w:t>
      </w:r>
      <w:r>
        <w:rPr>
          <w:rFonts w:hint="eastAsia" w:ascii="仿宋" w:hAnsi="仿宋" w:eastAsia="仿宋" w:cs="仿宋"/>
          <w:sz w:val="24"/>
          <w:szCs w:val="24"/>
        </w:rPr>
        <w:t>对市场推广或项目执行过程中出现的技术问题提供必要的协助。</w:t>
      </w:r>
    </w:p>
    <w:p>
      <w:pPr>
        <w:widowControl/>
        <w:autoSpaceDE w:val="0"/>
        <w:autoSpaceDN w:val="0"/>
        <w:adjustRightInd w:val="0"/>
        <w:spacing w:after="50" w:line="360" w:lineRule="auto"/>
        <w:ind w:left="530"/>
        <w:rPr>
          <w:rFonts w:ascii="仿宋" w:hAnsi="仿宋" w:eastAsia="仿宋" w:cs="仿宋"/>
          <w:sz w:val="24"/>
          <w:szCs w:val="24"/>
        </w:rPr>
      </w:pPr>
      <w:r>
        <w:rPr>
          <w:rFonts w:hint="eastAsia" w:ascii="仿宋" w:hAnsi="仿宋" w:eastAsia="仿宋" w:cs="仿宋"/>
          <w:sz w:val="24"/>
          <w:szCs w:val="24"/>
        </w:rPr>
        <w:t>（四） 增值服务商可要求</w:t>
      </w:r>
      <w:r>
        <w:rPr>
          <w:rFonts w:hint="eastAsia" w:ascii="仿宋" w:hAnsi="仿宋" w:eastAsia="仿宋" w:cs="仿宋"/>
          <w:sz w:val="24"/>
          <w:szCs w:val="24"/>
          <w:lang w:eastAsia="zh-CN"/>
        </w:rPr>
        <w:t>交科信用</w:t>
      </w:r>
      <w:r>
        <w:rPr>
          <w:rFonts w:hint="eastAsia" w:ascii="仿宋" w:hAnsi="仿宋" w:eastAsia="仿宋" w:cs="仿宋"/>
          <w:sz w:val="24"/>
          <w:szCs w:val="24"/>
        </w:rPr>
        <w:t>对要推广的产品进行必要培训。</w:t>
      </w:r>
    </w:p>
    <w:p>
      <w:pPr>
        <w:widowControl/>
        <w:autoSpaceDE w:val="0"/>
        <w:autoSpaceDN w:val="0"/>
        <w:adjustRightInd w:val="0"/>
        <w:spacing w:after="50" w:line="360" w:lineRule="auto"/>
        <w:ind w:firstLine="480" w:firstLineChars="200"/>
        <w:rPr>
          <w:rFonts w:ascii="仿宋" w:hAnsi="仿宋" w:eastAsia="仿宋" w:cs="仿宋"/>
          <w:sz w:val="24"/>
          <w:szCs w:val="24"/>
        </w:rPr>
      </w:pPr>
      <w:r>
        <w:rPr>
          <w:rFonts w:hint="eastAsia" w:ascii="仿宋" w:hAnsi="仿宋" w:eastAsia="仿宋" w:cs="仿宋"/>
          <w:sz w:val="24"/>
          <w:szCs w:val="24"/>
        </w:rPr>
        <w:t>（五） 增值服务商作为</w:t>
      </w:r>
      <w:r>
        <w:rPr>
          <w:rFonts w:hint="eastAsia" w:ascii="仿宋" w:hAnsi="仿宋" w:eastAsia="仿宋" w:cs="仿宋"/>
          <w:sz w:val="24"/>
          <w:szCs w:val="24"/>
          <w:lang w:eastAsia="zh-CN"/>
        </w:rPr>
        <w:t>交科信用</w:t>
      </w:r>
      <w:r>
        <w:rPr>
          <w:rFonts w:hint="eastAsia" w:ascii="仿宋" w:hAnsi="仿宋" w:eastAsia="仿宋" w:cs="仿宋"/>
          <w:sz w:val="24"/>
          <w:szCs w:val="24"/>
        </w:rPr>
        <w:t>的战略合作伙伴，可获得平台宣传支持。</w:t>
      </w:r>
    </w:p>
    <w:p>
      <w:pPr>
        <w:pStyle w:val="3"/>
      </w:pPr>
      <w:r>
        <w:rPr>
          <w:rFonts w:hint="eastAsia"/>
        </w:rPr>
        <w:t>第八条 增值服务商的义务</w:t>
      </w:r>
    </w:p>
    <w:p>
      <w:pPr>
        <w:pStyle w:val="11"/>
        <w:widowControl/>
        <w:numPr>
          <w:ilvl w:val="0"/>
          <w:numId w:val="3"/>
        </w:numPr>
        <w:autoSpaceDE w:val="0"/>
        <w:autoSpaceDN w:val="0"/>
        <w:adjustRightInd w:val="0"/>
        <w:spacing w:after="50" w:line="360" w:lineRule="auto"/>
        <w:ind w:firstLineChars="0"/>
        <w:rPr>
          <w:rFonts w:ascii="仿宋" w:hAnsi="仿宋" w:eastAsia="仿宋" w:cs="仿宋"/>
          <w:sz w:val="24"/>
          <w:szCs w:val="24"/>
        </w:rPr>
      </w:pPr>
      <w:r>
        <w:rPr>
          <w:rFonts w:hint="eastAsia" w:ascii="仿宋" w:hAnsi="仿宋" w:eastAsia="仿宋" w:cs="仿宋"/>
          <w:sz w:val="24"/>
          <w:szCs w:val="24"/>
        </w:rPr>
        <w:t xml:space="preserve"> 增值服务商应提供真实有效的公司资质文件和终端用户服务合同。</w:t>
      </w:r>
    </w:p>
    <w:p>
      <w:pPr>
        <w:widowControl/>
        <w:autoSpaceDE w:val="0"/>
        <w:autoSpaceDN w:val="0"/>
        <w:adjustRightInd w:val="0"/>
        <w:spacing w:after="50" w:line="360" w:lineRule="auto"/>
        <w:ind w:firstLine="480" w:firstLineChars="200"/>
        <w:rPr>
          <w:rFonts w:ascii="仿宋" w:hAnsi="仿宋" w:eastAsia="仿宋" w:cs="仿宋"/>
          <w:sz w:val="24"/>
          <w:szCs w:val="24"/>
        </w:rPr>
      </w:pPr>
      <w:r>
        <w:rPr>
          <w:rFonts w:hint="eastAsia" w:ascii="仿宋" w:hAnsi="仿宋" w:eastAsia="仿宋" w:cs="仿宋"/>
          <w:sz w:val="24"/>
          <w:szCs w:val="24"/>
        </w:rPr>
        <w:t>（二） 增值服务商提交给</w:t>
      </w:r>
      <w:r>
        <w:rPr>
          <w:rFonts w:hint="eastAsia" w:ascii="仿宋" w:hAnsi="仿宋" w:eastAsia="仿宋" w:cs="仿宋"/>
          <w:sz w:val="24"/>
          <w:szCs w:val="24"/>
          <w:lang w:eastAsia="zh-CN"/>
        </w:rPr>
        <w:t>交科信用</w:t>
      </w:r>
      <w:r>
        <w:rPr>
          <w:rFonts w:hint="eastAsia" w:ascii="仿宋" w:hAnsi="仿宋" w:eastAsia="仿宋" w:cs="仿宋"/>
          <w:sz w:val="24"/>
          <w:szCs w:val="24"/>
        </w:rPr>
        <w:t>的每一份终端用户服务合同相应的服务内容以及</w:t>
      </w:r>
      <w:r>
        <w:rPr>
          <w:rFonts w:hint="eastAsia" w:ascii="仿宋" w:hAnsi="仿宋" w:eastAsia="仿宋" w:cs="仿宋"/>
          <w:sz w:val="24"/>
          <w:szCs w:val="24"/>
          <w:lang w:eastAsia="zh-CN"/>
        </w:rPr>
        <w:t>交科信用</w:t>
      </w:r>
      <w:r>
        <w:rPr>
          <w:rFonts w:hint="eastAsia" w:ascii="仿宋" w:hAnsi="仿宋" w:eastAsia="仿宋" w:cs="仿宋"/>
          <w:sz w:val="24"/>
          <w:szCs w:val="24"/>
        </w:rPr>
        <w:t>提供给增值服务商的指定产品服务，都只服务于此合同中的终端用户，增值服务商不能将合同中约定的相应服务内容擅自挪用至其它任何项目或供任何第三方使用。</w:t>
      </w:r>
    </w:p>
    <w:p>
      <w:pPr>
        <w:widowControl/>
        <w:autoSpaceDE w:val="0"/>
        <w:autoSpaceDN w:val="0"/>
        <w:adjustRightInd w:val="0"/>
        <w:spacing w:after="50" w:line="360" w:lineRule="auto"/>
        <w:ind w:firstLine="480" w:firstLineChars="200"/>
        <w:rPr>
          <w:rFonts w:ascii="仿宋" w:hAnsi="仿宋" w:eastAsia="仿宋" w:cs="仿宋"/>
          <w:sz w:val="24"/>
          <w:szCs w:val="24"/>
        </w:rPr>
      </w:pPr>
      <w:r>
        <w:rPr>
          <w:rFonts w:hint="eastAsia" w:ascii="仿宋" w:hAnsi="仿宋" w:eastAsia="仿宋" w:cs="仿宋"/>
          <w:sz w:val="24"/>
          <w:szCs w:val="24"/>
        </w:rPr>
        <w:t>（三） 增值服务商应在各自负责的区域内按产品实际功能进行市场开拓工作，针对服务所涉及的内容和范围与终端用户达成一致并形成约束关系。对于增值服务商与其客户之间的任何纠纷、争议、损失、侵权、违约责任等问题，均由增值服务商自行解决。</w:t>
      </w:r>
    </w:p>
    <w:p>
      <w:pPr>
        <w:widowControl/>
        <w:autoSpaceDE w:val="0"/>
        <w:autoSpaceDN w:val="0"/>
        <w:adjustRightInd w:val="0"/>
        <w:spacing w:after="50" w:line="360" w:lineRule="auto"/>
        <w:ind w:firstLine="480" w:firstLineChars="200"/>
        <w:rPr>
          <w:rFonts w:ascii="仿宋" w:hAnsi="仿宋" w:eastAsia="仿宋" w:cs="仿宋"/>
          <w:sz w:val="24"/>
          <w:szCs w:val="24"/>
        </w:rPr>
      </w:pPr>
      <w:r>
        <w:rPr>
          <w:rFonts w:hint="eastAsia" w:ascii="仿宋" w:hAnsi="仿宋" w:eastAsia="仿宋" w:cs="仿宋"/>
          <w:sz w:val="24"/>
          <w:szCs w:val="24"/>
        </w:rPr>
        <w:t>（四） 增值服务商应指定专人/团队负责乙方指定产品的推广和市场增值服务，并及时与</w:t>
      </w:r>
      <w:r>
        <w:rPr>
          <w:rFonts w:hint="eastAsia" w:ascii="仿宋" w:hAnsi="仿宋" w:eastAsia="仿宋" w:cs="仿宋"/>
          <w:sz w:val="24"/>
          <w:szCs w:val="24"/>
          <w:lang w:eastAsia="zh-CN"/>
        </w:rPr>
        <w:t>交科信用</w:t>
      </w:r>
      <w:r>
        <w:rPr>
          <w:rFonts w:hint="eastAsia" w:ascii="仿宋" w:hAnsi="仿宋" w:eastAsia="仿宋" w:cs="仿宋"/>
          <w:sz w:val="24"/>
          <w:szCs w:val="24"/>
        </w:rPr>
        <w:t>进行对接、反馈并提出合理化建议。</w:t>
      </w:r>
    </w:p>
    <w:p>
      <w:pPr>
        <w:widowControl/>
        <w:autoSpaceDE w:val="0"/>
        <w:autoSpaceDN w:val="0"/>
        <w:adjustRightInd w:val="0"/>
        <w:spacing w:after="50" w:line="360" w:lineRule="auto"/>
        <w:ind w:firstLine="480" w:firstLineChars="200"/>
        <w:rPr>
          <w:rFonts w:ascii="仿宋" w:hAnsi="仿宋" w:eastAsia="仿宋" w:cs="仿宋"/>
          <w:sz w:val="24"/>
          <w:szCs w:val="24"/>
        </w:rPr>
      </w:pPr>
      <w:r>
        <w:rPr>
          <w:rFonts w:hint="eastAsia" w:ascii="仿宋" w:hAnsi="仿宋" w:eastAsia="仿宋" w:cs="仿宋"/>
          <w:sz w:val="24"/>
          <w:szCs w:val="24"/>
        </w:rPr>
        <w:t>（五） 增值服务商对</w:t>
      </w:r>
      <w:r>
        <w:rPr>
          <w:rFonts w:hint="eastAsia" w:ascii="仿宋" w:hAnsi="仿宋" w:eastAsia="仿宋" w:cs="仿宋"/>
          <w:sz w:val="24"/>
          <w:szCs w:val="24"/>
          <w:lang w:eastAsia="zh-CN"/>
        </w:rPr>
        <w:t>交科信用</w:t>
      </w:r>
      <w:r>
        <w:rPr>
          <w:rFonts w:hint="eastAsia" w:ascii="仿宋" w:hAnsi="仿宋" w:eastAsia="仿宋" w:cs="仿宋"/>
          <w:sz w:val="24"/>
          <w:szCs w:val="24"/>
        </w:rPr>
        <w:t>的合作、技术资料有保密义务，不得向其它任何第三方透露。</w:t>
      </w:r>
    </w:p>
    <w:p>
      <w:pPr>
        <w:widowControl/>
        <w:autoSpaceDE w:val="0"/>
        <w:autoSpaceDN w:val="0"/>
        <w:adjustRightInd w:val="0"/>
        <w:spacing w:after="50" w:line="360" w:lineRule="auto"/>
        <w:ind w:firstLine="480" w:firstLineChars="200"/>
        <w:rPr>
          <w:rFonts w:ascii="仿宋" w:hAnsi="仿宋" w:eastAsia="仿宋" w:cs="仿宋"/>
          <w:sz w:val="24"/>
          <w:szCs w:val="24"/>
        </w:rPr>
      </w:pPr>
      <w:r>
        <w:rPr>
          <w:rFonts w:hint="eastAsia" w:ascii="仿宋" w:hAnsi="仿宋" w:eastAsia="仿宋" w:cs="仿宋"/>
          <w:sz w:val="24"/>
          <w:szCs w:val="24"/>
        </w:rPr>
        <w:t>（六） 增值服务商有义务在与</w:t>
      </w:r>
      <w:r>
        <w:rPr>
          <w:rFonts w:hint="eastAsia" w:ascii="仿宋" w:hAnsi="仿宋" w:eastAsia="仿宋" w:cs="仿宋"/>
          <w:sz w:val="24"/>
          <w:szCs w:val="24"/>
          <w:lang w:eastAsia="zh-CN"/>
        </w:rPr>
        <w:t>交科信用</w:t>
      </w:r>
      <w:r>
        <w:rPr>
          <w:rFonts w:hint="eastAsia" w:ascii="仿宋" w:hAnsi="仿宋" w:eastAsia="仿宋" w:cs="仿宋"/>
          <w:sz w:val="24"/>
          <w:szCs w:val="24"/>
        </w:rPr>
        <w:t>合作期间，不和任何与</w:t>
      </w:r>
      <w:r>
        <w:rPr>
          <w:rFonts w:hint="eastAsia" w:ascii="仿宋" w:hAnsi="仿宋" w:eastAsia="仿宋" w:cs="仿宋"/>
          <w:sz w:val="24"/>
          <w:szCs w:val="24"/>
          <w:lang w:eastAsia="zh-CN"/>
        </w:rPr>
        <w:t>交科信用</w:t>
      </w:r>
      <w:r>
        <w:rPr>
          <w:rFonts w:hint="eastAsia" w:ascii="仿宋" w:hAnsi="仿宋" w:eastAsia="仿宋" w:cs="仿宋"/>
          <w:sz w:val="24"/>
          <w:szCs w:val="24"/>
        </w:rPr>
        <w:t>构成商业竞争关系的企业、商业机构或组织进行与平台产品相同或类似的合作。</w:t>
      </w:r>
    </w:p>
    <w:p>
      <w:pPr>
        <w:pStyle w:val="3"/>
      </w:pPr>
      <w:r>
        <w:rPr>
          <w:rFonts w:hint="eastAsia"/>
        </w:rPr>
        <w:t>第九条 其它权利与义务</w:t>
      </w:r>
    </w:p>
    <w:p>
      <w:pPr>
        <w:spacing w:line="360" w:lineRule="auto"/>
      </w:pPr>
      <w:r>
        <w:rPr>
          <w:rFonts w:hint="eastAsia"/>
        </w:rPr>
        <w:t xml:space="preserve"> </w:t>
      </w:r>
      <w:r>
        <w:t xml:space="preserve">   </w:t>
      </w:r>
      <w:r>
        <w:rPr>
          <w:rFonts w:ascii="仿宋" w:hAnsi="仿宋" w:eastAsia="仿宋" w:cs="仿宋"/>
          <w:sz w:val="24"/>
          <w:szCs w:val="24"/>
        </w:rPr>
        <w:t xml:space="preserve">    </w:t>
      </w:r>
      <w:r>
        <w:rPr>
          <w:rFonts w:hint="eastAsia" w:ascii="仿宋" w:hAnsi="仿宋" w:eastAsia="仿宋" w:cs="仿宋"/>
          <w:sz w:val="24"/>
          <w:szCs w:val="24"/>
        </w:rPr>
        <w:t>关于</w:t>
      </w:r>
      <w:r>
        <w:rPr>
          <w:rFonts w:hint="eastAsia" w:ascii="仿宋" w:hAnsi="仿宋" w:eastAsia="仿宋" w:cs="仿宋"/>
          <w:sz w:val="24"/>
          <w:szCs w:val="24"/>
          <w:lang w:eastAsia="zh-CN"/>
        </w:rPr>
        <w:t>交科信用</w:t>
      </w:r>
      <w:r>
        <w:rPr>
          <w:rFonts w:hint="eastAsia" w:ascii="仿宋" w:hAnsi="仿宋" w:eastAsia="仿宋" w:cs="仿宋"/>
          <w:sz w:val="24"/>
          <w:szCs w:val="24"/>
        </w:rPr>
        <w:t>与增值服务商的其它权利与义务，详见《产品增值服务商合作协议》。</w:t>
      </w:r>
    </w:p>
    <w:p>
      <w:pPr>
        <w:pStyle w:val="2"/>
      </w:pPr>
      <w:r>
        <w:rPr>
          <w:rFonts w:hint="eastAsia"/>
        </w:rPr>
        <w:t>第三章 合作模式和商务约定</w:t>
      </w:r>
    </w:p>
    <w:p>
      <w:pPr>
        <w:pStyle w:val="3"/>
      </w:pPr>
      <w:r>
        <w:rPr>
          <w:rFonts w:hint="eastAsia"/>
        </w:rPr>
        <w:t>第十条 合作模式</w:t>
      </w:r>
    </w:p>
    <w:p>
      <w:pPr>
        <w:spacing w:line="360" w:lineRule="auto"/>
        <w:ind w:firstLine="960" w:firstLineChars="400"/>
        <w:rPr>
          <w:rFonts w:ascii="仿宋" w:hAnsi="仿宋" w:eastAsia="仿宋"/>
          <w:sz w:val="24"/>
          <w:szCs w:val="24"/>
        </w:rPr>
      </w:pPr>
      <w:r>
        <w:rPr>
          <w:rFonts w:hint="eastAsia" w:ascii="仿宋" w:hAnsi="仿宋" w:eastAsia="仿宋"/>
          <w:sz w:val="24"/>
          <w:szCs w:val="24"/>
        </w:rPr>
        <w:t>增值服务商负责对</w:t>
      </w:r>
      <w:r>
        <w:rPr>
          <w:rFonts w:hint="eastAsia" w:ascii="仿宋" w:hAnsi="仿宋" w:eastAsia="仿宋"/>
          <w:sz w:val="24"/>
          <w:szCs w:val="24"/>
          <w:lang w:eastAsia="zh-CN"/>
        </w:rPr>
        <w:t>交科信用</w:t>
      </w:r>
      <w:r>
        <w:rPr>
          <w:rFonts w:hint="eastAsia" w:ascii="仿宋" w:hAnsi="仿宋" w:eastAsia="仿宋"/>
          <w:sz w:val="24"/>
          <w:szCs w:val="24"/>
        </w:rPr>
        <w:t>指定产品进行需求调查、市场推广、项目跟踪和增值服务，</w:t>
      </w:r>
      <w:r>
        <w:rPr>
          <w:rFonts w:hint="eastAsia" w:ascii="仿宋" w:hAnsi="仿宋" w:eastAsia="仿宋"/>
          <w:sz w:val="24"/>
          <w:szCs w:val="24"/>
          <w:lang w:eastAsia="zh-CN"/>
        </w:rPr>
        <w:t>交科信用</w:t>
      </w:r>
      <w:r>
        <w:rPr>
          <w:rFonts w:hint="eastAsia" w:ascii="仿宋" w:hAnsi="仿宋" w:eastAsia="仿宋"/>
          <w:sz w:val="24"/>
          <w:szCs w:val="24"/>
        </w:rPr>
        <w:t>为增值服务商提供终端用户的接口服务和技术支持。增值服务商每签约一家用户，在</w:t>
      </w:r>
      <w:r>
        <w:rPr>
          <w:rFonts w:hint="eastAsia" w:ascii="仿宋" w:hAnsi="仿宋" w:eastAsia="仿宋"/>
          <w:sz w:val="24"/>
          <w:szCs w:val="24"/>
          <w:lang w:eastAsia="zh-CN"/>
        </w:rPr>
        <w:t>交科信用</w:t>
      </w:r>
      <w:r>
        <w:rPr>
          <w:rFonts w:hint="eastAsia" w:ascii="仿宋" w:hAnsi="仿宋" w:eastAsia="仿宋"/>
          <w:sz w:val="24"/>
          <w:szCs w:val="24"/>
        </w:rPr>
        <w:t>进行终端用户服务合同备案后，由平台提供技术支持。</w:t>
      </w:r>
    </w:p>
    <w:p>
      <w:pPr>
        <w:pStyle w:val="3"/>
      </w:pPr>
      <w:r>
        <w:rPr>
          <w:rFonts w:hint="eastAsia"/>
        </w:rPr>
        <w:t>第十一条 市场统一价格</w:t>
      </w:r>
    </w:p>
    <w:p>
      <w:pPr>
        <w:rPr>
          <w:rFonts w:ascii="仿宋" w:hAnsi="仿宋" w:eastAsia="仿宋"/>
          <w:sz w:val="24"/>
          <w:szCs w:val="24"/>
        </w:rPr>
      </w:pPr>
      <w:r>
        <w:rPr>
          <w:rFonts w:hint="eastAsia"/>
        </w:rPr>
        <w:t xml:space="preserve"> </w:t>
      </w:r>
      <w:r>
        <w:t xml:space="preserve">       </w:t>
      </w:r>
      <w:r>
        <w:rPr>
          <w:rFonts w:hint="eastAsia" w:ascii="仿宋" w:hAnsi="仿宋" w:eastAsia="仿宋"/>
          <w:sz w:val="24"/>
          <w:szCs w:val="24"/>
        </w:rPr>
        <w:t>增值服务商需按以下各产品统一价格面向市场提供服务：</w:t>
      </w:r>
    </w:p>
    <w:tbl>
      <w:tblPr>
        <w:tblStyle w:val="7"/>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981"/>
        <w:gridCol w:w="1733"/>
        <w:gridCol w:w="1542"/>
        <w:gridCol w:w="2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17" w:type="dxa"/>
            <w:shd w:val="clear" w:color="000000" w:fill="FFE699"/>
            <w:noWrap/>
            <w:vAlign w:val="center"/>
          </w:tcPr>
          <w:p>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No.</w:t>
            </w:r>
          </w:p>
        </w:tc>
        <w:tc>
          <w:tcPr>
            <w:tcW w:w="1981" w:type="dxa"/>
            <w:shd w:val="clear" w:color="000000" w:fill="FFE699"/>
            <w:noWrap/>
            <w:vAlign w:val="center"/>
          </w:tcPr>
          <w:p>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一次性接口服务费（元）</w:t>
            </w:r>
          </w:p>
        </w:tc>
        <w:tc>
          <w:tcPr>
            <w:tcW w:w="1733" w:type="dxa"/>
            <w:shd w:val="clear" w:color="000000" w:fill="FFE699"/>
            <w:noWrap/>
            <w:vAlign w:val="center"/>
          </w:tcPr>
          <w:p>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Rules</w:t>
            </w:r>
          </w:p>
        </w:tc>
        <w:tc>
          <w:tcPr>
            <w:tcW w:w="1542" w:type="dxa"/>
            <w:shd w:val="clear" w:color="000000" w:fill="FFE699"/>
            <w:noWrap/>
            <w:vAlign w:val="center"/>
          </w:tcPr>
          <w:p>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合同总价（元）</w:t>
            </w:r>
          </w:p>
        </w:tc>
        <w:tc>
          <w:tcPr>
            <w:tcW w:w="2711" w:type="dxa"/>
            <w:shd w:val="clear" w:color="000000" w:fill="FFE699"/>
            <w:noWrap/>
            <w:vAlign w:val="center"/>
          </w:tcPr>
          <w:p>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核验项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17"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w:t>
            </w:r>
          </w:p>
        </w:tc>
        <w:tc>
          <w:tcPr>
            <w:tcW w:w="1981" w:type="dxa"/>
            <w:vMerge w:val="restart"/>
            <w:shd w:val="clear" w:color="auto" w:fill="auto"/>
            <w:noWrap/>
            <w:vAlign w:val="center"/>
          </w:tcPr>
          <w:p>
            <w:pPr>
              <w:widowControl/>
              <w:jc w:val="center"/>
              <w:rPr>
                <w:rFonts w:ascii="等线" w:hAnsi="等线" w:eastAsia="等线" w:cs="宋体"/>
                <w:color w:val="000000"/>
                <w:kern w:val="0"/>
                <w:sz w:val="22"/>
              </w:rPr>
            </w:pPr>
          </w:p>
          <w:p>
            <w:pPr>
              <w:widowControl/>
              <w:jc w:val="center"/>
              <w:rPr>
                <w:rFonts w:ascii="等线" w:hAnsi="等线" w:eastAsia="等线" w:cs="宋体"/>
                <w:color w:val="000000"/>
                <w:kern w:val="0"/>
                <w:sz w:val="22"/>
              </w:rPr>
            </w:pPr>
          </w:p>
          <w:p>
            <w:pPr>
              <w:widowControl/>
              <w:jc w:val="center"/>
              <w:rPr>
                <w:rFonts w:ascii="等线" w:hAnsi="等线" w:eastAsia="等线" w:cs="宋体"/>
                <w:color w:val="000000"/>
                <w:kern w:val="0"/>
                <w:sz w:val="22"/>
              </w:rPr>
            </w:pPr>
          </w:p>
          <w:p>
            <w:pPr>
              <w:widowControl/>
              <w:jc w:val="center"/>
              <w:rPr>
                <w:rFonts w:ascii="等线" w:hAnsi="等线" w:eastAsia="等线" w:cs="宋体"/>
                <w:color w:val="000000"/>
                <w:kern w:val="0"/>
                <w:sz w:val="22"/>
              </w:rPr>
            </w:pPr>
          </w:p>
          <w:p>
            <w:pPr>
              <w:widowControl/>
              <w:jc w:val="center"/>
              <w:rPr>
                <w:rFonts w:ascii="等线" w:hAnsi="等线" w:eastAsia="等线" w:cs="宋体"/>
                <w:color w:val="000000"/>
                <w:kern w:val="0"/>
                <w:sz w:val="22"/>
              </w:rPr>
            </w:pPr>
          </w:p>
          <w:p>
            <w:pPr>
              <w:widowControl/>
              <w:rPr>
                <w:rFonts w:ascii="等线" w:hAnsi="等线" w:eastAsia="等线" w:cs="宋体"/>
                <w:color w:val="000000"/>
                <w:kern w:val="0"/>
                <w:sz w:val="22"/>
              </w:rPr>
            </w:pPr>
          </w:p>
          <w:p>
            <w:pPr>
              <w:widowControl/>
              <w:rPr>
                <w:rFonts w:ascii="等线" w:hAnsi="等线" w:eastAsia="等线" w:cs="宋体"/>
                <w:color w:val="000000"/>
                <w:kern w:val="0"/>
                <w:sz w:val="22"/>
              </w:rPr>
            </w:pPr>
          </w:p>
          <w:p>
            <w:pPr>
              <w:widowControl/>
              <w:jc w:val="center"/>
              <w:rPr>
                <w:rFonts w:ascii="等线" w:hAnsi="等线" w:eastAsia="等线" w:cs="宋体"/>
                <w:color w:val="000000"/>
                <w:kern w:val="0"/>
                <w:sz w:val="22"/>
              </w:rPr>
            </w:pPr>
          </w:p>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3000</w:t>
            </w:r>
          </w:p>
        </w:tc>
        <w:tc>
          <w:tcPr>
            <w:tcW w:w="1733" w:type="dxa"/>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3000元/年； 限5000次</w:t>
            </w:r>
          </w:p>
        </w:tc>
        <w:tc>
          <w:tcPr>
            <w:tcW w:w="1542"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6000</w:t>
            </w:r>
          </w:p>
        </w:tc>
        <w:tc>
          <w:tcPr>
            <w:tcW w:w="2711" w:type="dxa"/>
            <w:vMerge w:val="restart"/>
            <w:shd w:val="clear" w:color="auto" w:fill="auto"/>
            <w:vAlign w:val="center"/>
          </w:tcPr>
          <w:p>
            <w:pPr>
              <w:widowControl/>
              <w:jc w:val="left"/>
              <w:rPr>
                <w:rFonts w:ascii="等线" w:hAnsi="等线" w:eastAsia="等线" w:cs="宋体"/>
                <w:color w:val="000000"/>
                <w:kern w:val="0"/>
                <w:sz w:val="22"/>
              </w:rPr>
            </w:pPr>
          </w:p>
          <w:p>
            <w:pPr>
              <w:widowControl/>
              <w:jc w:val="left"/>
              <w:rPr>
                <w:rFonts w:ascii="等线" w:hAnsi="等线" w:eastAsia="等线" w:cs="宋体"/>
                <w:color w:val="000000"/>
                <w:kern w:val="0"/>
                <w:sz w:val="22"/>
              </w:rPr>
            </w:pPr>
          </w:p>
          <w:p>
            <w:pPr>
              <w:widowControl/>
              <w:jc w:val="left"/>
              <w:rPr>
                <w:rFonts w:ascii="等线" w:hAnsi="等线" w:eastAsia="等线" w:cs="宋体"/>
                <w:color w:val="000000"/>
                <w:kern w:val="0"/>
                <w:sz w:val="22"/>
              </w:rPr>
            </w:pPr>
          </w:p>
          <w:p>
            <w:pPr>
              <w:widowControl/>
              <w:jc w:val="left"/>
              <w:rPr>
                <w:rFonts w:ascii="等线" w:hAnsi="等线" w:eastAsia="等线" w:cs="宋体"/>
                <w:color w:val="000000"/>
                <w:kern w:val="0"/>
                <w:sz w:val="22"/>
              </w:rPr>
            </w:pPr>
          </w:p>
          <w:p>
            <w:pPr>
              <w:widowControl/>
              <w:jc w:val="left"/>
              <w:rPr>
                <w:rFonts w:ascii="等线" w:hAnsi="等线" w:eastAsia="等线" w:cs="宋体"/>
                <w:color w:val="000000"/>
                <w:kern w:val="0"/>
                <w:sz w:val="22"/>
              </w:rPr>
            </w:pPr>
          </w:p>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xml:space="preserve">车辆线上线下一致性验证  企业经营许可证验证        道路运输证验证              从业资格证验证                            </w:t>
            </w:r>
            <w:r>
              <w:rPr>
                <w:rFonts w:hint="eastAsia" w:ascii="等线" w:hAnsi="等线" w:eastAsia="等线" w:cs="宋体"/>
                <w:color w:val="FF0000"/>
                <w:kern w:val="0"/>
                <w:sz w:val="22"/>
              </w:rPr>
              <w:t xml:space="preserve">   </w:t>
            </w:r>
            <w:r>
              <w:rPr>
                <w:rFonts w:hint="eastAsia" w:ascii="等线" w:hAnsi="等线" w:eastAsia="等线" w:cs="宋体"/>
                <w:color w:val="000000"/>
                <w:kern w:val="0"/>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17"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w:t>
            </w:r>
          </w:p>
        </w:tc>
        <w:tc>
          <w:tcPr>
            <w:tcW w:w="1981" w:type="dxa"/>
            <w:vMerge w:val="continue"/>
            <w:vAlign w:val="center"/>
          </w:tcPr>
          <w:p>
            <w:pPr>
              <w:widowControl/>
              <w:jc w:val="left"/>
              <w:rPr>
                <w:rFonts w:ascii="等线" w:hAnsi="等线" w:eastAsia="等线" w:cs="宋体"/>
                <w:color w:val="000000"/>
                <w:kern w:val="0"/>
                <w:sz w:val="22"/>
              </w:rPr>
            </w:pPr>
          </w:p>
        </w:tc>
        <w:tc>
          <w:tcPr>
            <w:tcW w:w="1733" w:type="dxa"/>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5500元/年； 限1万次</w:t>
            </w:r>
          </w:p>
        </w:tc>
        <w:tc>
          <w:tcPr>
            <w:tcW w:w="1542"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8500</w:t>
            </w:r>
          </w:p>
        </w:tc>
        <w:tc>
          <w:tcPr>
            <w:tcW w:w="2711" w:type="dxa"/>
            <w:vMerge w:val="continue"/>
            <w:vAlign w:val="center"/>
          </w:tcPr>
          <w:p>
            <w:pPr>
              <w:widowControl/>
              <w:jc w:val="left"/>
              <w:rPr>
                <w:rFonts w:ascii="等线" w:hAnsi="等线" w:eastAsia="等线"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17"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3</w:t>
            </w:r>
          </w:p>
        </w:tc>
        <w:tc>
          <w:tcPr>
            <w:tcW w:w="1981" w:type="dxa"/>
            <w:vMerge w:val="continue"/>
            <w:vAlign w:val="center"/>
          </w:tcPr>
          <w:p>
            <w:pPr>
              <w:widowControl/>
              <w:jc w:val="left"/>
              <w:rPr>
                <w:rFonts w:ascii="等线" w:hAnsi="等线" w:eastAsia="等线" w:cs="宋体"/>
                <w:color w:val="000000"/>
                <w:kern w:val="0"/>
                <w:sz w:val="22"/>
              </w:rPr>
            </w:pPr>
          </w:p>
        </w:tc>
        <w:tc>
          <w:tcPr>
            <w:tcW w:w="1733" w:type="dxa"/>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15000元/年；限5万次</w:t>
            </w:r>
          </w:p>
        </w:tc>
        <w:tc>
          <w:tcPr>
            <w:tcW w:w="1542"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18000</w:t>
            </w:r>
          </w:p>
        </w:tc>
        <w:tc>
          <w:tcPr>
            <w:tcW w:w="2711" w:type="dxa"/>
            <w:vMerge w:val="continue"/>
            <w:vAlign w:val="center"/>
          </w:tcPr>
          <w:p>
            <w:pPr>
              <w:widowControl/>
              <w:jc w:val="left"/>
              <w:rPr>
                <w:rFonts w:ascii="等线" w:hAnsi="等线" w:eastAsia="等线"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17"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4</w:t>
            </w:r>
          </w:p>
        </w:tc>
        <w:tc>
          <w:tcPr>
            <w:tcW w:w="1981" w:type="dxa"/>
            <w:vMerge w:val="continue"/>
            <w:vAlign w:val="center"/>
          </w:tcPr>
          <w:p>
            <w:pPr>
              <w:widowControl/>
              <w:jc w:val="left"/>
              <w:rPr>
                <w:rFonts w:ascii="等线" w:hAnsi="等线" w:eastAsia="等线" w:cs="宋体"/>
                <w:color w:val="000000"/>
                <w:kern w:val="0"/>
                <w:sz w:val="22"/>
              </w:rPr>
            </w:pPr>
          </w:p>
        </w:tc>
        <w:tc>
          <w:tcPr>
            <w:tcW w:w="1733" w:type="dxa"/>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20000元/年；限20万次</w:t>
            </w:r>
          </w:p>
        </w:tc>
        <w:tc>
          <w:tcPr>
            <w:tcW w:w="1542"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23000</w:t>
            </w:r>
          </w:p>
        </w:tc>
        <w:tc>
          <w:tcPr>
            <w:tcW w:w="2711" w:type="dxa"/>
            <w:vMerge w:val="continue"/>
            <w:vAlign w:val="center"/>
          </w:tcPr>
          <w:p>
            <w:pPr>
              <w:widowControl/>
              <w:jc w:val="left"/>
              <w:rPr>
                <w:rFonts w:ascii="等线" w:hAnsi="等线" w:eastAsia="等线"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17"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5</w:t>
            </w:r>
          </w:p>
        </w:tc>
        <w:tc>
          <w:tcPr>
            <w:tcW w:w="1981" w:type="dxa"/>
            <w:vMerge w:val="continue"/>
            <w:vAlign w:val="center"/>
          </w:tcPr>
          <w:p>
            <w:pPr>
              <w:widowControl/>
              <w:jc w:val="left"/>
              <w:rPr>
                <w:rFonts w:ascii="等线" w:hAnsi="等线" w:eastAsia="等线" w:cs="宋体"/>
                <w:color w:val="000000"/>
                <w:kern w:val="0"/>
                <w:sz w:val="22"/>
              </w:rPr>
            </w:pPr>
          </w:p>
        </w:tc>
        <w:tc>
          <w:tcPr>
            <w:tcW w:w="1733" w:type="dxa"/>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30000元/年；限50万次</w:t>
            </w:r>
          </w:p>
        </w:tc>
        <w:tc>
          <w:tcPr>
            <w:tcW w:w="1542"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33000</w:t>
            </w:r>
          </w:p>
        </w:tc>
        <w:tc>
          <w:tcPr>
            <w:tcW w:w="2711" w:type="dxa"/>
            <w:vMerge w:val="continue"/>
            <w:vAlign w:val="center"/>
          </w:tcPr>
          <w:p>
            <w:pPr>
              <w:widowControl/>
              <w:jc w:val="left"/>
              <w:rPr>
                <w:rFonts w:ascii="等线" w:hAnsi="等线" w:eastAsia="等线"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17"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6</w:t>
            </w:r>
          </w:p>
        </w:tc>
        <w:tc>
          <w:tcPr>
            <w:tcW w:w="1981" w:type="dxa"/>
            <w:vMerge w:val="continue"/>
            <w:vAlign w:val="center"/>
          </w:tcPr>
          <w:p>
            <w:pPr>
              <w:widowControl/>
              <w:jc w:val="left"/>
              <w:rPr>
                <w:rFonts w:ascii="等线" w:hAnsi="等线" w:eastAsia="等线" w:cs="宋体"/>
                <w:color w:val="000000"/>
                <w:kern w:val="0"/>
                <w:sz w:val="22"/>
              </w:rPr>
            </w:pPr>
          </w:p>
        </w:tc>
        <w:tc>
          <w:tcPr>
            <w:tcW w:w="1733" w:type="dxa"/>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43000元/年；限100万次</w:t>
            </w:r>
          </w:p>
        </w:tc>
        <w:tc>
          <w:tcPr>
            <w:tcW w:w="1542" w:type="dxa"/>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46000</w:t>
            </w:r>
          </w:p>
        </w:tc>
        <w:tc>
          <w:tcPr>
            <w:tcW w:w="2711" w:type="dxa"/>
            <w:vMerge w:val="continue"/>
            <w:vAlign w:val="center"/>
          </w:tcPr>
          <w:p>
            <w:pPr>
              <w:widowControl/>
              <w:jc w:val="left"/>
              <w:rPr>
                <w:rFonts w:ascii="等线" w:hAnsi="等线" w:eastAsia="等线" w:cs="宋体"/>
                <w:color w:val="000000"/>
                <w:kern w:val="0"/>
                <w:sz w:val="22"/>
              </w:rPr>
            </w:pPr>
          </w:p>
        </w:tc>
      </w:tr>
    </w:tbl>
    <w:p/>
    <w:p>
      <w:pPr>
        <w:spacing w:line="360" w:lineRule="auto"/>
        <w:rPr>
          <w:rFonts w:ascii="仿宋" w:hAnsi="仿宋" w:eastAsia="仿宋"/>
          <w:sz w:val="24"/>
          <w:szCs w:val="24"/>
        </w:rPr>
      </w:pPr>
      <w:r>
        <w:rPr>
          <w:rFonts w:hint="eastAsia" w:ascii="仿宋" w:hAnsi="仿宋" w:eastAsia="仿宋"/>
          <w:sz w:val="24"/>
          <w:szCs w:val="24"/>
        </w:rPr>
        <w:t>注：一次性接口服务费是指</w:t>
      </w:r>
      <w:r>
        <w:rPr>
          <w:rFonts w:hint="eastAsia" w:ascii="仿宋" w:hAnsi="仿宋" w:eastAsia="仿宋"/>
          <w:sz w:val="24"/>
          <w:szCs w:val="24"/>
          <w:lang w:eastAsia="zh-CN"/>
        </w:rPr>
        <w:t>交科信用</w:t>
      </w:r>
      <w:r>
        <w:rPr>
          <w:rFonts w:hint="eastAsia" w:ascii="仿宋" w:hAnsi="仿宋" w:eastAsia="仿宋"/>
          <w:sz w:val="24"/>
          <w:szCs w:val="24"/>
        </w:rPr>
        <w:t>为增值服务商提供的产品接口调试服务费，为一次性收取。对接成功后的用户不再收取接口服务费。</w:t>
      </w:r>
    </w:p>
    <w:p>
      <w:pPr>
        <w:pStyle w:val="3"/>
      </w:pPr>
      <w:r>
        <w:rPr>
          <w:rFonts w:hint="eastAsia"/>
        </w:rPr>
        <w:t>第十二条 结算方式</w:t>
      </w:r>
    </w:p>
    <w:p>
      <w:pPr>
        <w:spacing w:line="360" w:lineRule="auto"/>
        <w:ind w:firstLine="960" w:firstLineChars="400"/>
        <w:rPr>
          <w:rFonts w:ascii="仿宋" w:hAnsi="仿宋" w:eastAsia="仿宋"/>
          <w:sz w:val="24"/>
          <w:szCs w:val="24"/>
        </w:rPr>
      </w:pPr>
      <w:r>
        <w:rPr>
          <w:rFonts w:hint="eastAsia" w:ascii="仿宋" w:hAnsi="仿宋" w:eastAsia="仿宋"/>
          <w:sz w:val="24"/>
          <w:szCs w:val="24"/>
        </w:rPr>
        <w:t>增值服务商与其终端用户签订终端用户服务合同后五个工作日内，向</w:t>
      </w:r>
      <w:r>
        <w:rPr>
          <w:rFonts w:hint="eastAsia" w:ascii="仿宋" w:hAnsi="仿宋" w:eastAsia="仿宋"/>
          <w:sz w:val="24"/>
          <w:szCs w:val="24"/>
          <w:lang w:val="en-US" w:eastAsia="zh-CN"/>
        </w:rPr>
        <w:t>交科信用</w:t>
      </w:r>
      <w:r>
        <w:rPr>
          <w:rFonts w:hint="eastAsia" w:ascii="仿宋" w:hAnsi="仿宋" w:eastAsia="仿宋"/>
          <w:sz w:val="24"/>
          <w:szCs w:val="24"/>
        </w:rPr>
        <w:t>完成合同备案；增值服务商完成合同备案后三个工作日内，向</w:t>
      </w:r>
      <w:r>
        <w:rPr>
          <w:rFonts w:hint="eastAsia" w:ascii="仿宋" w:hAnsi="仿宋" w:eastAsia="仿宋"/>
          <w:sz w:val="24"/>
          <w:szCs w:val="24"/>
          <w:lang w:val="en-US" w:eastAsia="zh-CN"/>
        </w:rPr>
        <w:t>交科信用</w:t>
      </w:r>
      <w:r>
        <w:rPr>
          <w:rFonts w:hint="eastAsia" w:ascii="仿宋" w:hAnsi="仿宋" w:eastAsia="仿宋"/>
          <w:sz w:val="24"/>
          <w:szCs w:val="24"/>
        </w:rPr>
        <w:t>支付相应的服务费（对公转账）。费用支付完成后，</w:t>
      </w:r>
      <w:r>
        <w:rPr>
          <w:rFonts w:hint="eastAsia" w:ascii="仿宋" w:hAnsi="仿宋" w:eastAsia="仿宋"/>
          <w:sz w:val="24"/>
          <w:szCs w:val="24"/>
          <w:lang w:eastAsia="zh-CN"/>
        </w:rPr>
        <w:t>交科信用</w:t>
      </w:r>
      <w:r>
        <w:rPr>
          <w:rFonts w:hint="eastAsia" w:ascii="仿宋" w:hAnsi="仿宋" w:eastAsia="仿宋"/>
          <w:sz w:val="24"/>
          <w:szCs w:val="24"/>
        </w:rPr>
        <w:t>为终端用户提供接口服务和技术支持。</w:t>
      </w:r>
    </w:p>
    <w:p>
      <w:pPr>
        <w:pStyle w:val="2"/>
      </w:pPr>
      <w:r>
        <w:rPr>
          <w:rFonts w:hint="eastAsia"/>
        </w:rPr>
        <w:t>第四章 增值服务商违规处罚与退出机制</w:t>
      </w:r>
    </w:p>
    <w:p>
      <w:pPr>
        <w:pStyle w:val="3"/>
      </w:pPr>
      <w:r>
        <w:rPr>
          <w:rFonts w:hint="eastAsia"/>
        </w:rPr>
        <w:t>第十三条 违规处罚机制</w:t>
      </w:r>
    </w:p>
    <w:p>
      <w:pPr>
        <w:spacing w:line="360" w:lineRule="auto"/>
        <w:ind w:firstLine="960" w:firstLineChars="400"/>
        <w:rPr>
          <w:rFonts w:ascii="仿宋" w:hAnsi="仿宋" w:eastAsia="仿宋" w:cs="仿宋"/>
          <w:sz w:val="24"/>
          <w:szCs w:val="24"/>
        </w:rPr>
      </w:pPr>
      <w:r>
        <w:rPr>
          <w:rFonts w:hint="eastAsia" w:ascii="仿宋" w:hAnsi="仿宋" w:eastAsia="仿宋" w:cs="仿宋"/>
          <w:sz w:val="24"/>
          <w:szCs w:val="24"/>
        </w:rPr>
        <w:t>增值服务商违反以下机制中的任意一条，需一次性赔偿给</w:t>
      </w:r>
      <w:r>
        <w:rPr>
          <w:rFonts w:hint="eastAsia" w:ascii="仿宋" w:hAnsi="仿宋" w:eastAsia="仿宋" w:cs="仿宋"/>
          <w:sz w:val="24"/>
          <w:szCs w:val="24"/>
          <w:lang w:eastAsia="zh-CN"/>
        </w:rPr>
        <w:t>交科信用</w:t>
      </w:r>
      <w:r>
        <w:rPr>
          <w:rFonts w:hint="eastAsia" w:ascii="仿宋" w:hAnsi="仿宋" w:eastAsia="仿宋" w:cs="仿宋"/>
          <w:sz w:val="24"/>
          <w:szCs w:val="24"/>
        </w:rPr>
        <w:t>违约费五十万元，且</w:t>
      </w:r>
      <w:r>
        <w:rPr>
          <w:rFonts w:hint="eastAsia" w:ascii="仿宋" w:hAnsi="仿宋" w:eastAsia="仿宋" w:cs="仿宋"/>
          <w:sz w:val="24"/>
          <w:szCs w:val="24"/>
          <w:lang w:eastAsia="zh-CN"/>
        </w:rPr>
        <w:t>交科信用</w:t>
      </w:r>
      <w:r>
        <w:rPr>
          <w:rFonts w:hint="eastAsia" w:ascii="仿宋" w:hAnsi="仿宋" w:eastAsia="仿宋" w:cs="仿宋"/>
          <w:sz w:val="24"/>
          <w:szCs w:val="24"/>
        </w:rPr>
        <w:t>有权提起诉讼：</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 增值服务商将约定的产品和服务应用于非物流业务。</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（二）</w:t>
      </w:r>
      <w:r>
        <w:rPr>
          <w:rFonts w:ascii="仿宋" w:hAnsi="仿宋" w:eastAsia="仿宋" w:cs="仿宋"/>
          <w:sz w:val="24"/>
          <w:szCs w:val="24"/>
        </w:rPr>
        <w:t xml:space="preserve"> </w:t>
      </w:r>
      <w:r>
        <w:rPr>
          <w:rFonts w:hint="eastAsia" w:ascii="仿宋" w:hAnsi="仿宋" w:eastAsia="仿宋" w:cs="仿宋"/>
          <w:sz w:val="24"/>
          <w:szCs w:val="24"/>
        </w:rPr>
        <w:t>增值服务商与其签约的终端用户的合同价格与</w:t>
      </w:r>
      <w:r>
        <w:rPr>
          <w:rFonts w:hint="eastAsia" w:ascii="仿宋" w:hAnsi="仿宋" w:eastAsia="仿宋" w:cs="仿宋"/>
          <w:sz w:val="24"/>
          <w:szCs w:val="24"/>
          <w:lang w:eastAsia="zh-CN"/>
        </w:rPr>
        <w:t>交科信用</w:t>
      </w:r>
      <w:r>
        <w:rPr>
          <w:rFonts w:hint="eastAsia" w:ascii="仿宋" w:hAnsi="仿宋" w:eastAsia="仿宋" w:cs="仿宋"/>
          <w:sz w:val="24"/>
          <w:szCs w:val="24"/>
        </w:rPr>
        <w:t>规定的市场服务价格不一致或增值服务商将给</w:t>
      </w:r>
      <w:r>
        <w:rPr>
          <w:rFonts w:hint="eastAsia" w:ascii="仿宋" w:hAnsi="仿宋" w:eastAsia="仿宋" w:cs="仿宋"/>
          <w:sz w:val="24"/>
          <w:szCs w:val="24"/>
          <w:lang w:eastAsia="zh-CN"/>
        </w:rPr>
        <w:t>交科信用</w:t>
      </w:r>
      <w:r>
        <w:rPr>
          <w:rFonts w:hint="eastAsia" w:ascii="仿宋" w:hAnsi="仿宋" w:eastAsia="仿宋" w:cs="仿宋"/>
          <w:sz w:val="24"/>
          <w:szCs w:val="24"/>
        </w:rPr>
        <w:t>留存的备案合同中约定的服务内容擅自用至其它项目或任何第三方。</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（三） 增值服务商违反保密义务，或将《产品增值服务商合作协议》内容透露给任何第三方。</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（四） 增值服务商违规推广与</w:t>
      </w:r>
      <w:r>
        <w:rPr>
          <w:rFonts w:hint="eastAsia" w:ascii="仿宋" w:hAnsi="仿宋" w:eastAsia="仿宋" w:cs="仿宋"/>
          <w:sz w:val="24"/>
          <w:szCs w:val="24"/>
          <w:lang w:eastAsia="zh-CN"/>
        </w:rPr>
        <w:t>交科信用</w:t>
      </w:r>
      <w:r>
        <w:rPr>
          <w:rFonts w:hint="eastAsia" w:ascii="仿宋" w:hAnsi="仿宋" w:eastAsia="仿宋" w:cs="仿宋"/>
          <w:sz w:val="24"/>
          <w:szCs w:val="24"/>
        </w:rPr>
        <w:t>类似的服务或产品。</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（五） 增值服务商违反国家法律、法规或提供任何虚假材料（包括但不限于公司资质材料、终端用户服务合同）。</w:t>
      </w:r>
    </w:p>
    <w:p>
      <w:pPr>
        <w:pStyle w:val="3"/>
      </w:pPr>
      <w:r>
        <w:rPr>
          <w:rFonts w:hint="eastAsia"/>
        </w:rPr>
        <w:t>第十四条 退出机制</w:t>
      </w:r>
    </w:p>
    <w:p>
      <w:pPr>
        <w:spacing w:line="360" w:lineRule="auto"/>
        <w:ind w:firstLine="960" w:firstLineChars="400"/>
        <w:rPr>
          <w:rFonts w:ascii="仿宋" w:hAnsi="仿宋" w:eastAsia="仿宋" w:cs="仿宋"/>
          <w:sz w:val="24"/>
          <w:szCs w:val="24"/>
        </w:rPr>
      </w:pPr>
      <w:r>
        <w:rPr>
          <w:rFonts w:hint="eastAsia" w:ascii="仿宋" w:hAnsi="仿宋" w:eastAsia="仿宋" w:cs="仿宋"/>
          <w:sz w:val="24"/>
          <w:szCs w:val="24"/>
        </w:rPr>
        <w:t>增值服务商违反以下机制中的任意一条，都将被解除增值服务商资格。情节严重者，</w:t>
      </w:r>
      <w:r>
        <w:rPr>
          <w:rFonts w:hint="eastAsia" w:ascii="仿宋" w:hAnsi="仿宋" w:eastAsia="仿宋" w:cs="仿宋"/>
          <w:sz w:val="24"/>
          <w:szCs w:val="24"/>
          <w:lang w:eastAsia="zh-CN"/>
        </w:rPr>
        <w:t>交科信用</w:t>
      </w:r>
      <w:r>
        <w:rPr>
          <w:rFonts w:hint="eastAsia" w:ascii="仿宋" w:hAnsi="仿宋" w:eastAsia="仿宋" w:cs="仿宋"/>
          <w:sz w:val="24"/>
          <w:szCs w:val="24"/>
        </w:rPr>
        <w:t>有权提起诉讼：</w:t>
      </w:r>
    </w:p>
    <w:p>
      <w:pPr>
        <w:pStyle w:val="11"/>
        <w:spacing w:line="360" w:lineRule="auto"/>
        <w:ind w:left="360" w:firstLine="240" w:firstLineChars="100"/>
        <w:rPr>
          <w:rFonts w:ascii="仿宋" w:hAnsi="仿宋" w:eastAsia="仿宋" w:cs="仿宋"/>
          <w:sz w:val="24"/>
          <w:szCs w:val="24"/>
        </w:rPr>
      </w:pPr>
      <w:r>
        <w:rPr>
          <w:rFonts w:hint="eastAsia" w:ascii="仿宋" w:hAnsi="仿宋" w:eastAsia="仿宋" w:cs="仿宋"/>
          <w:sz w:val="24"/>
          <w:szCs w:val="24"/>
        </w:rPr>
        <w:t>（一）</w:t>
      </w:r>
      <w:r>
        <w:rPr>
          <w:rFonts w:ascii="仿宋" w:hAnsi="仿宋" w:eastAsia="仿宋" w:cs="仿宋"/>
          <w:sz w:val="24"/>
          <w:szCs w:val="24"/>
        </w:rPr>
        <w:t xml:space="preserve"> </w:t>
      </w:r>
      <w:r>
        <w:rPr>
          <w:rFonts w:hint="eastAsia" w:ascii="仿宋" w:hAnsi="仿宋" w:eastAsia="仿宋" w:cs="仿宋"/>
          <w:sz w:val="24"/>
          <w:szCs w:val="24"/>
        </w:rPr>
        <w:t>增值服务商违反本管理办法第十三条“违规处罚机制”中相关内容。</w:t>
      </w:r>
    </w:p>
    <w:p>
      <w:pPr>
        <w:pStyle w:val="11"/>
        <w:spacing w:line="360" w:lineRule="auto"/>
        <w:ind w:left="360" w:firstLine="240" w:firstLineChars="100"/>
        <w:rPr>
          <w:rFonts w:ascii="仿宋" w:hAnsi="仿宋" w:eastAsia="仿宋" w:cs="仿宋"/>
          <w:sz w:val="24"/>
          <w:szCs w:val="24"/>
        </w:rPr>
      </w:pPr>
      <w:r>
        <w:rPr>
          <w:rFonts w:hint="eastAsia" w:ascii="仿宋" w:hAnsi="仿宋" w:eastAsia="仿宋" w:cs="仿宋"/>
          <w:sz w:val="24"/>
          <w:szCs w:val="24"/>
        </w:rPr>
        <w:t>（二） 增值服务商不及时报备项目信息以及市场增值服务进展情况，或对</w:t>
      </w:r>
      <w:r>
        <w:rPr>
          <w:rFonts w:hint="eastAsia" w:ascii="仿宋" w:hAnsi="仿宋" w:eastAsia="仿宋" w:cs="仿宋"/>
          <w:sz w:val="24"/>
          <w:szCs w:val="24"/>
          <w:lang w:eastAsia="zh-CN"/>
        </w:rPr>
        <w:t>交科信用</w:t>
      </w:r>
      <w:r>
        <w:rPr>
          <w:rFonts w:hint="eastAsia" w:ascii="仿宋" w:hAnsi="仿宋" w:eastAsia="仿宋" w:cs="仿宋"/>
          <w:sz w:val="24"/>
          <w:szCs w:val="24"/>
        </w:rPr>
        <w:t>采取不合作态度。</w:t>
      </w:r>
    </w:p>
    <w:p>
      <w:pPr>
        <w:pStyle w:val="11"/>
        <w:spacing w:line="360" w:lineRule="auto"/>
        <w:ind w:left="360" w:firstLine="240" w:firstLineChars="100"/>
        <w:rPr>
          <w:rFonts w:ascii="仿宋" w:hAnsi="仿宋" w:eastAsia="仿宋" w:cs="仿宋"/>
          <w:sz w:val="24"/>
          <w:szCs w:val="24"/>
        </w:rPr>
      </w:pPr>
      <w:r>
        <w:rPr>
          <w:rFonts w:hint="eastAsia" w:ascii="仿宋" w:hAnsi="仿宋" w:eastAsia="仿宋" w:cs="仿宋"/>
          <w:sz w:val="24"/>
          <w:szCs w:val="24"/>
        </w:rPr>
        <w:t>（三） 增值服务商在产品推广或其终端用户在使用产品过程中做出任何违规或损害</w:t>
      </w:r>
      <w:r>
        <w:rPr>
          <w:rFonts w:hint="eastAsia" w:ascii="仿宋" w:hAnsi="仿宋" w:eastAsia="仿宋" w:cs="仿宋"/>
          <w:sz w:val="24"/>
          <w:szCs w:val="24"/>
          <w:lang w:eastAsia="zh-CN"/>
        </w:rPr>
        <w:t>交科信用</w:t>
      </w:r>
      <w:r>
        <w:rPr>
          <w:rFonts w:hint="eastAsia" w:ascii="仿宋" w:hAnsi="仿宋" w:eastAsia="仿宋" w:cs="仿宋"/>
          <w:sz w:val="24"/>
          <w:szCs w:val="24"/>
        </w:rPr>
        <w:t>公司声誉的行为。</w:t>
      </w:r>
    </w:p>
    <w:p>
      <w:pPr>
        <w:pStyle w:val="11"/>
        <w:spacing w:line="360" w:lineRule="auto"/>
        <w:ind w:left="360" w:firstLine="240" w:firstLineChars="100"/>
        <w:rPr>
          <w:rFonts w:ascii="仿宋" w:hAnsi="仿宋" w:eastAsia="仿宋" w:cs="仿宋"/>
          <w:sz w:val="24"/>
          <w:szCs w:val="24"/>
        </w:rPr>
      </w:pPr>
      <w:r>
        <w:rPr>
          <w:rFonts w:hint="eastAsia" w:ascii="仿宋" w:hAnsi="仿宋" w:eastAsia="仿宋" w:cs="仿宋"/>
          <w:sz w:val="24"/>
          <w:szCs w:val="24"/>
        </w:rPr>
        <w:t>（四） 增值服务商在合作协议有效期内不积极推广产品，消极怠工，连续两次未通过增值服务商考核。</w:t>
      </w:r>
    </w:p>
    <w:p>
      <w:pPr>
        <w:pStyle w:val="11"/>
        <w:spacing w:line="360" w:lineRule="auto"/>
        <w:ind w:left="360" w:firstLine="240" w:firstLineChars="100"/>
        <w:rPr>
          <w:rFonts w:ascii="仿宋" w:hAnsi="仿宋" w:eastAsia="仿宋" w:cs="仿宋"/>
          <w:sz w:val="24"/>
          <w:szCs w:val="24"/>
        </w:rPr>
      </w:pPr>
      <w:r>
        <w:rPr>
          <w:rFonts w:hint="eastAsia" w:ascii="仿宋" w:hAnsi="仿宋" w:eastAsia="仿宋" w:cs="仿宋"/>
          <w:sz w:val="24"/>
          <w:szCs w:val="24"/>
        </w:rPr>
        <w:t>（五） 增值服务商不按照本管理办法执行或违反本管理办法，且在要求期限内未予整改。</w:t>
      </w:r>
    </w:p>
    <w:p>
      <w:pPr>
        <w:pStyle w:val="11"/>
        <w:spacing w:line="360" w:lineRule="auto"/>
        <w:ind w:left="360" w:firstLine="240" w:firstLineChars="100"/>
        <w:rPr>
          <w:rFonts w:ascii="仿宋" w:hAnsi="仿宋" w:eastAsia="仿宋" w:cs="仿宋"/>
          <w:sz w:val="24"/>
          <w:szCs w:val="24"/>
        </w:rPr>
      </w:pPr>
      <w:r>
        <w:rPr>
          <w:rFonts w:hint="eastAsia" w:ascii="仿宋" w:hAnsi="仿宋" w:eastAsia="仿宋" w:cs="仿宋"/>
          <w:sz w:val="24"/>
          <w:szCs w:val="24"/>
        </w:rPr>
        <w:t>（六） 增值服务商由于破产、倒闭、停业、被政府机构、司法机构列入破产清算的。</w:t>
      </w:r>
    </w:p>
    <w:p>
      <w:pPr>
        <w:pStyle w:val="11"/>
        <w:spacing w:line="360" w:lineRule="auto"/>
        <w:ind w:left="360" w:firstLine="240" w:firstLineChars="100"/>
        <w:rPr>
          <w:rFonts w:ascii="仿宋" w:hAnsi="仿宋" w:eastAsia="仿宋" w:cs="仿宋"/>
          <w:sz w:val="24"/>
          <w:szCs w:val="24"/>
        </w:rPr>
      </w:pPr>
      <w:r>
        <w:rPr>
          <w:rFonts w:hint="eastAsia" w:ascii="仿宋" w:hAnsi="仿宋" w:eastAsia="仿宋" w:cs="仿宋"/>
          <w:sz w:val="24"/>
          <w:szCs w:val="24"/>
        </w:rPr>
        <w:t>（七） 增值服务商与其终端用户产生的任何纠纷如波及</w:t>
      </w:r>
      <w:r>
        <w:rPr>
          <w:rFonts w:hint="eastAsia" w:ascii="仿宋" w:hAnsi="仿宋" w:eastAsia="仿宋" w:cs="仿宋"/>
          <w:sz w:val="24"/>
          <w:szCs w:val="24"/>
          <w:lang w:eastAsia="zh-CN"/>
        </w:rPr>
        <w:t>交科信用</w:t>
      </w:r>
      <w:r>
        <w:rPr>
          <w:rFonts w:hint="eastAsia" w:ascii="仿宋" w:hAnsi="仿宋" w:eastAsia="仿宋" w:cs="仿宋"/>
          <w:sz w:val="24"/>
          <w:szCs w:val="24"/>
        </w:rPr>
        <w:t>或造成不良影响。</w:t>
      </w:r>
    </w:p>
    <w:p>
      <w:pPr>
        <w:pStyle w:val="11"/>
        <w:spacing w:line="360" w:lineRule="auto"/>
        <w:ind w:left="360" w:firstLine="240" w:firstLineChars="100"/>
        <w:rPr>
          <w:rFonts w:ascii="仿宋" w:hAnsi="仿宋" w:eastAsia="仿宋" w:cs="仿宋"/>
          <w:sz w:val="24"/>
          <w:szCs w:val="24"/>
        </w:rPr>
      </w:pPr>
      <w:r>
        <w:rPr>
          <w:rFonts w:hint="eastAsia" w:ascii="仿宋" w:hAnsi="仿宋" w:eastAsia="仿宋" w:cs="仿宋"/>
          <w:sz w:val="24"/>
          <w:szCs w:val="24"/>
        </w:rPr>
        <w:t>（八） 增值服务商因其它原因终止合作，需提交书面材料至</w:t>
      </w:r>
      <w:r>
        <w:rPr>
          <w:rFonts w:hint="eastAsia" w:ascii="仿宋" w:hAnsi="仿宋" w:eastAsia="仿宋" w:cs="仿宋"/>
          <w:sz w:val="24"/>
          <w:szCs w:val="24"/>
          <w:lang w:eastAsia="zh-CN"/>
        </w:rPr>
        <w:t>交科信用</w:t>
      </w:r>
      <w:r>
        <w:rPr>
          <w:rFonts w:hint="eastAsia" w:ascii="仿宋" w:hAnsi="仿宋" w:eastAsia="仿宋" w:cs="仿宋"/>
          <w:sz w:val="24"/>
          <w:szCs w:val="24"/>
        </w:rPr>
        <w:t>，履行相关手续后，取消其增值服务商资格。</w:t>
      </w:r>
    </w:p>
    <w:p>
      <w:pPr>
        <w:pStyle w:val="2"/>
      </w:pPr>
      <w:r>
        <w:rPr>
          <w:rFonts w:hint="eastAsia"/>
        </w:rPr>
        <w:t>第五章 增值服务商考核机制</w:t>
      </w:r>
    </w:p>
    <w:p>
      <w:pPr>
        <w:pStyle w:val="3"/>
      </w:pPr>
      <w:r>
        <w:rPr>
          <w:rFonts w:hint="eastAsia"/>
        </w:rPr>
        <w:t>第十五条 季度考核</w:t>
      </w:r>
    </w:p>
    <w:p>
      <w:pPr>
        <w:spacing w:line="360" w:lineRule="auto"/>
        <w:rPr>
          <w:rFonts w:ascii="仿宋" w:hAnsi="仿宋" w:eastAsia="仿宋" w:cs="仿宋"/>
          <w:sz w:val="24"/>
          <w:szCs w:val="24"/>
        </w:rPr>
      </w:pPr>
      <w:r>
        <w:rPr>
          <w:rFonts w:hint="eastAsia"/>
        </w:rPr>
        <w:t xml:space="preserve"> </w:t>
      </w:r>
      <w:r>
        <w:t xml:space="preserve">    </w:t>
      </w:r>
      <w:r>
        <w:rPr>
          <w:rFonts w:ascii="仿宋" w:hAnsi="仿宋" w:eastAsia="仿宋" w:cs="仿宋"/>
          <w:sz w:val="24"/>
          <w:szCs w:val="24"/>
        </w:rPr>
        <w:t xml:space="preserve">    </w:t>
      </w:r>
      <w:r>
        <w:rPr>
          <w:rFonts w:hint="eastAsia" w:ascii="仿宋" w:hAnsi="仿宋" w:eastAsia="仿宋" w:cs="仿宋"/>
          <w:sz w:val="24"/>
          <w:szCs w:val="24"/>
        </w:rPr>
        <w:t>增值服务商每季度需与</w:t>
      </w:r>
      <w:r>
        <w:rPr>
          <w:rFonts w:hint="eastAsia" w:ascii="仿宋" w:hAnsi="仿宋" w:eastAsia="仿宋" w:cs="仿宋"/>
          <w:sz w:val="24"/>
          <w:szCs w:val="24"/>
          <w:lang w:eastAsia="zh-CN"/>
        </w:rPr>
        <w:t>交科信用</w:t>
      </w:r>
      <w:r>
        <w:rPr>
          <w:rFonts w:hint="eastAsia" w:ascii="仿宋" w:hAnsi="仿宋" w:eastAsia="仿宋" w:cs="仿宋"/>
          <w:sz w:val="24"/>
          <w:szCs w:val="24"/>
        </w:rPr>
        <w:t>核对终端用户合同备案情况，内容包括：终端合同签订时间、用户账号、服务条目、合同截止时间、终端用户使用问题等。</w:t>
      </w:r>
    </w:p>
    <w:p>
      <w:pPr>
        <w:spacing w:line="360" w:lineRule="auto"/>
        <w:ind w:firstLine="960" w:firstLineChars="400"/>
        <w:rPr>
          <w:rFonts w:ascii="仿宋" w:hAnsi="仿宋" w:eastAsia="仿宋" w:cs="仿宋"/>
          <w:sz w:val="24"/>
          <w:szCs w:val="24"/>
        </w:rPr>
      </w:pPr>
      <w:r>
        <w:rPr>
          <w:rFonts w:hint="eastAsia" w:ascii="仿宋" w:hAnsi="仿宋" w:eastAsia="仿宋" w:cs="仿宋"/>
          <w:sz w:val="24"/>
          <w:szCs w:val="24"/>
        </w:rPr>
        <w:t>每季度初（一月、四月、七月、十月）上报本季度计划，将负责区域上季度的情况以及下季度的市场预测报告和下季度工作计划提交至</w:t>
      </w:r>
      <w:r>
        <w:rPr>
          <w:rFonts w:hint="eastAsia" w:ascii="仿宋" w:hAnsi="仿宋" w:eastAsia="仿宋" w:cs="仿宋"/>
          <w:sz w:val="24"/>
          <w:szCs w:val="24"/>
          <w:lang w:eastAsia="zh-CN"/>
        </w:rPr>
        <w:t>交科信用</w:t>
      </w:r>
      <w:r>
        <w:rPr>
          <w:rFonts w:hint="eastAsia" w:ascii="仿宋" w:hAnsi="仿宋" w:eastAsia="仿宋" w:cs="仿宋"/>
          <w:sz w:val="24"/>
          <w:szCs w:val="24"/>
        </w:rPr>
        <w:t>。</w:t>
      </w:r>
    </w:p>
    <w:p>
      <w:pPr>
        <w:pStyle w:val="3"/>
      </w:pPr>
      <w:r>
        <w:rPr>
          <w:rFonts w:hint="eastAsia"/>
        </w:rPr>
        <w:t>第十六条 年度考核</w:t>
      </w:r>
    </w:p>
    <w:p>
      <w:pPr>
        <w:spacing w:line="360" w:lineRule="auto"/>
        <w:rPr>
          <w:rFonts w:ascii="仿宋" w:hAnsi="仿宋" w:eastAsia="仿宋" w:cs="仿宋"/>
          <w:sz w:val="24"/>
          <w:szCs w:val="24"/>
        </w:rPr>
      </w:pPr>
      <w:r>
        <w:rPr>
          <w:rFonts w:hint="eastAsia" w:ascii="仿宋" w:hAnsi="仿宋" w:eastAsia="仿宋" w:cs="仿宋"/>
          <w:sz w:val="24"/>
          <w:szCs w:val="24"/>
        </w:rPr>
        <w:t xml:space="preserve"> </w:t>
      </w:r>
      <w:r>
        <w:rPr>
          <w:rFonts w:ascii="仿宋" w:hAnsi="仿宋" w:eastAsia="仿宋" w:cs="仿宋"/>
          <w:sz w:val="24"/>
          <w:szCs w:val="24"/>
        </w:rPr>
        <w:t xml:space="preserve">       </w:t>
      </w:r>
      <w:r>
        <w:rPr>
          <w:rFonts w:hint="eastAsia" w:ascii="仿宋" w:hAnsi="仿宋" w:eastAsia="仿宋" w:cs="仿宋"/>
          <w:sz w:val="24"/>
          <w:szCs w:val="24"/>
        </w:rPr>
        <w:t>增值服务商年底需与</w:t>
      </w:r>
      <w:r>
        <w:rPr>
          <w:rFonts w:hint="eastAsia" w:ascii="仿宋" w:hAnsi="仿宋" w:eastAsia="仿宋" w:cs="仿宋"/>
          <w:sz w:val="24"/>
          <w:szCs w:val="24"/>
          <w:lang w:eastAsia="zh-CN"/>
        </w:rPr>
        <w:t>交科信用</w:t>
      </w:r>
      <w:r>
        <w:rPr>
          <w:rFonts w:hint="eastAsia" w:ascii="仿宋" w:hAnsi="仿宋" w:eastAsia="仿宋" w:cs="仿宋"/>
          <w:sz w:val="24"/>
          <w:szCs w:val="24"/>
        </w:rPr>
        <w:t>核对终端用户合同备案情况，内容包括：终端合同签订时间、用户账号、服务条目、合同截止时间、终端用户使用问题等。</w:t>
      </w:r>
    </w:p>
    <w:p>
      <w:pPr>
        <w:spacing w:line="360" w:lineRule="auto"/>
        <w:ind w:firstLine="960" w:firstLineChars="400"/>
        <w:rPr>
          <w:rFonts w:ascii="仿宋" w:hAnsi="仿宋" w:eastAsia="仿宋" w:cs="仿宋"/>
          <w:sz w:val="24"/>
          <w:szCs w:val="24"/>
        </w:rPr>
      </w:pPr>
      <w:r>
        <w:rPr>
          <w:rFonts w:hint="eastAsia" w:ascii="仿宋" w:hAnsi="仿宋" w:eastAsia="仿宋" w:cs="仿宋"/>
          <w:sz w:val="24"/>
          <w:szCs w:val="24"/>
        </w:rPr>
        <w:t>年底将负责区域上年度的情况以及下年度的市场预测报告和下年度工作计划提交至</w:t>
      </w:r>
      <w:r>
        <w:rPr>
          <w:rFonts w:hint="eastAsia" w:ascii="仿宋" w:hAnsi="仿宋" w:eastAsia="仿宋" w:cs="仿宋"/>
          <w:sz w:val="24"/>
          <w:szCs w:val="24"/>
          <w:lang w:eastAsia="zh-CN"/>
        </w:rPr>
        <w:t>交科信用</w:t>
      </w:r>
      <w:r>
        <w:rPr>
          <w:rFonts w:hint="eastAsia" w:ascii="仿宋" w:hAnsi="仿宋" w:eastAsia="仿宋" w:cs="仿宋"/>
          <w:sz w:val="24"/>
          <w:szCs w:val="24"/>
        </w:rPr>
        <w:t>。</w:t>
      </w:r>
    </w:p>
    <w:p>
      <w:pPr>
        <w:pStyle w:val="3"/>
      </w:pPr>
      <w:r>
        <w:rPr>
          <w:rFonts w:hint="eastAsia"/>
        </w:rPr>
        <w:t>第十七条 机制</w:t>
      </w:r>
    </w:p>
    <w:p>
      <w:pPr>
        <w:spacing w:line="360" w:lineRule="auto"/>
        <w:ind w:firstLine="960" w:firstLineChars="400"/>
        <w:rPr>
          <w:rFonts w:ascii="仿宋" w:hAnsi="仿宋" w:eastAsia="仿宋" w:cs="仿宋"/>
          <w:sz w:val="24"/>
          <w:szCs w:val="24"/>
        </w:rPr>
      </w:pPr>
      <w:r>
        <w:rPr>
          <w:rFonts w:hint="eastAsia" w:ascii="仿宋" w:hAnsi="仿宋" w:eastAsia="仿宋" w:cs="仿宋"/>
          <w:sz w:val="24"/>
          <w:szCs w:val="24"/>
          <w:lang w:eastAsia="zh-CN"/>
        </w:rPr>
        <w:t>交科信用</w:t>
      </w:r>
      <w:r>
        <w:rPr>
          <w:rFonts w:hint="eastAsia" w:ascii="仿宋" w:hAnsi="仿宋" w:eastAsia="仿宋" w:cs="仿宋"/>
          <w:sz w:val="24"/>
          <w:szCs w:val="24"/>
        </w:rPr>
        <w:t>根据增值服务商提报的季度、年度相关资料进行评审，决定增值服务商资质的存续。</w:t>
      </w:r>
    </w:p>
    <w:p>
      <w:pPr>
        <w:spacing w:line="360" w:lineRule="auto"/>
        <w:ind w:firstLine="960" w:firstLineChars="400"/>
        <w:rPr>
          <w:rFonts w:ascii="仿宋" w:hAnsi="仿宋" w:eastAsia="仿宋" w:cs="仿宋"/>
          <w:sz w:val="24"/>
          <w:szCs w:val="24"/>
        </w:rPr>
      </w:pPr>
      <w:r>
        <w:rPr>
          <w:rFonts w:hint="eastAsia" w:ascii="仿宋" w:hAnsi="仿宋" w:eastAsia="仿宋" w:cs="仿宋"/>
          <w:sz w:val="24"/>
          <w:szCs w:val="24"/>
        </w:rPr>
        <w:t>连续两次未达到要求的，解除其增值服务商资质。</w:t>
      </w:r>
    </w:p>
    <w:p>
      <w:pPr>
        <w:pStyle w:val="2"/>
      </w:pPr>
      <w:r>
        <w:rPr>
          <w:rFonts w:hint="eastAsia"/>
        </w:rPr>
        <w:t>第六章 保密条款</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 增值服务商严格遵守《中华人民共和国数据安全法》以及其他中国法律中关于数据保护与使用的规定，合理使用数据，并对数据采取必要的保护措施。在任何情况下，不得进行任何可能侵害数据所有人合法权益的行为。</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（二） 增值服务商需承诺并形成约束关系，确保其签约的终端用户不得以任何方式对指定产品进行委托处理、共享、转让、公开披露或向终端用户服务合同以外的任何主体透露、传播、散布。</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（三）增值服务商承诺对</w:t>
      </w:r>
      <w:r>
        <w:rPr>
          <w:rFonts w:hint="eastAsia" w:ascii="仿宋" w:hAnsi="仿宋" w:eastAsia="仿宋"/>
          <w:sz w:val="24"/>
          <w:szCs w:val="24"/>
        </w:rPr>
        <w:t>协议</w:t>
      </w:r>
      <w:r>
        <w:rPr>
          <w:rFonts w:hint="eastAsia" w:ascii="仿宋" w:hAnsi="仿宋" w:eastAsia="仿宋" w:cs="仿宋"/>
          <w:sz w:val="24"/>
          <w:szCs w:val="24"/>
        </w:rPr>
        <w:t>之协商、签署、履行等知悉或掌握的对方的保密信息承担保密责任，不得向任何第三方公开或披露。增值服务商对</w:t>
      </w:r>
      <w:r>
        <w:rPr>
          <w:rFonts w:hint="eastAsia" w:ascii="仿宋" w:hAnsi="仿宋" w:eastAsia="仿宋" w:cs="仿宋"/>
          <w:sz w:val="24"/>
          <w:szCs w:val="24"/>
          <w:lang w:eastAsia="zh-CN"/>
        </w:rPr>
        <w:t>交科信用</w:t>
      </w:r>
      <w:r>
        <w:rPr>
          <w:rFonts w:hint="eastAsia" w:ascii="仿宋" w:hAnsi="仿宋" w:eastAsia="仿宋" w:cs="仿宋"/>
          <w:sz w:val="24"/>
          <w:szCs w:val="24"/>
        </w:rPr>
        <w:t>提供的所有技术资料进行保密，不得向其它任何第三方透露。</w:t>
      </w:r>
    </w:p>
    <w:p>
      <w:pPr>
        <w:pStyle w:val="2"/>
      </w:pPr>
      <w:r>
        <w:rPr>
          <w:rFonts w:hint="eastAsia"/>
        </w:rPr>
        <w:t>第七章 附则</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 如增值服务商之间发生竞争或冲突，</w:t>
      </w:r>
      <w:r>
        <w:rPr>
          <w:rFonts w:hint="eastAsia" w:ascii="仿宋" w:hAnsi="仿宋" w:eastAsia="仿宋" w:cs="仿宋"/>
          <w:sz w:val="24"/>
          <w:szCs w:val="24"/>
          <w:lang w:eastAsia="zh-CN"/>
        </w:rPr>
        <w:t>交科信用</w:t>
      </w:r>
      <w:r>
        <w:rPr>
          <w:rFonts w:hint="eastAsia" w:ascii="仿宋" w:hAnsi="仿宋" w:eastAsia="仿宋" w:cs="仿宋"/>
          <w:sz w:val="24"/>
          <w:szCs w:val="24"/>
        </w:rPr>
        <w:t>将依据公平、公正、公开的原则予以调解、处理。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（二） 本管理办法最终解释权归</w:t>
      </w:r>
      <w:r>
        <w:rPr>
          <w:rFonts w:hint="eastAsia" w:ascii="仿宋" w:hAnsi="仿宋" w:eastAsia="仿宋" w:cs="仿宋"/>
          <w:sz w:val="24"/>
          <w:szCs w:val="24"/>
          <w:lang w:eastAsia="zh-CN"/>
        </w:rPr>
        <w:t>交科信用</w:t>
      </w:r>
      <w:r>
        <w:rPr>
          <w:rFonts w:hint="eastAsia" w:ascii="仿宋" w:hAnsi="仿宋" w:eastAsia="仿宋" w:cs="仿宋"/>
          <w:sz w:val="24"/>
          <w:szCs w:val="24"/>
        </w:rPr>
        <w:t>所有。</w:t>
      </w:r>
    </w:p>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sz w:val="24"/>
          <w:szCs w:val="24"/>
        </w:rPr>
      </w:pPr>
    </w:p>
    <w:p>
      <w:pPr>
        <w:rPr>
          <w:rFonts w:ascii="仿宋" w:hAnsi="仿宋" w:eastAsia="仿宋" w:cs="仿宋"/>
          <w:sz w:val="24"/>
          <w:szCs w:val="24"/>
        </w:rPr>
      </w:pPr>
      <w:r>
        <w:rPr>
          <w:rFonts w:ascii="仿宋" w:hAnsi="仿宋" w:eastAsia="仿宋" w:cs="仿宋"/>
          <w:sz w:val="24"/>
          <w:szCs w:val="24"/>
        </w:rPr>
        <w:br w:type="page"/>
      </w:r>
      <w:bookmarkStart w:id="0" w:name="_GoBack"/>
      <w:bookmarkEnd w:id="0"/>
    </w:p>
    <w:p>
      <w:pPr>
        <w:spacing w:line="360" w:lineRule="auto"/>
        <w:ind w:firstLine="480" w:firstLineChars="200"/>
        <w:rPr>
          <w:rFonts w:hint="eastAsia" w:ascii="仿宋" w:hAnsi="仿宋" w:eastAsia="仿宋" w:cs="仿宋"/>
          <w:sz w:val="24"/>
          <w:szCs w:val="24"/>
        </w:rPr>
      </w:pPr>
    </w:p>
    <w:p>
      <w:pPr>
        <w:pStyle w:val="2"/>
      </w:pPr>
      <w:r>
        <w:rPr>
          <w:rFonts w:hint="eastAsia"/>
        </w:rPr>
        <w:t>第八章 增值服务商申请表附件</w:t>
      </w:r>
      <w:r>
        <w:rPr>
          <w:rFonts w:hint="eastAsia"/>
          <w:sz w:val="28"/>
          <w:szCs w:val="40"/>
        </w:rPr>
        <w:t>（样式）</w:t>
      </w:r>
    </w:p>
    <w:tbl>
      <w:tblPr>
        <w:tblStyle w:val="7"/>
        <w:tblW w:w="82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2126"/>
        <w:gridCol w:w="1843"/>
        <w:gridCol w:w="1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8279" w:type="dxa"/>
            <w:gridSpan w:val="4"/>
            <w:shd w:val="clear" w:color="auto" w:fill="auto"/>
            <w:noWrap/>
            <w:vAlign w:val="center"/>
          </w:tcPr>
          <w:p>
            <w:pPr>
              <w:widowControl/>
              <w:jc w:val="center"/>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增值服务商申请表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8279" w:type="dxa"/>
            <w:gridSpan w:val="4"/>
            <w:shd w:val="clear" w:color="auto" w:fill="auto"/>
            <w:noWrap/>
            <w:vAlign w:val="center"/>
          </w:tcPr>
          <w:p>
            <w:pPr>
              <w:widowControl/>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增值服务商基本情况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公司名称</w:t>
            </w:r>
          </w:p>
        </w:tc>
        <w:tc>
          <w:tcPr>
            <w:tcW w:w="5874" w:type="dxa"/>
            <w:gridSpan w:val="3"/>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西安京卡物联科技有限公司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地址</w:t>
            </w:r>
          </w:p>
        </w:tc>
        <w:tc>
          <w:tcPr>
            <w:tcW w:w="5874" w:type="dxa"/>
            <w:gridSpan w:val="3"/>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陕西省西安市高新区天谷八路156号软件新城二期D座科大讯飞101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法定代表人</w:t>
            </w:r>
          </w:p>
        </w:tc>
        <w:tc>
          <w:tcPr>
            <w:tcW w:w="5874" w:type="dxa"/>
            <w:gridSpan w:val="3"/>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崔晶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注册时间</w:t>
            </w:r>
          </w:p>
        </w:tc>
        <w:tc>
          <w:tcPr>
            <w:tcW w:w="5874" w:type="dxa"/>
            <w:gridSpan w:val="3"/>
            <w:shd w:val="clear" w:color="auto" w:fill="auto"/>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2020.5.20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公司性质</w:t>
            </w:r>
          </w:p>
        </w:tc>
        <w:tc>
          <w:tcPr>
            <w:tcW w:w="5874" w:type="dxa"/>
            <w:gridSpan w:val="3"/>
            <w:shd w:val="clear" w:color="auto" w:fill="auto"/>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注册资金</w:t>
            </w:r>
          </w:p>
        </w:tc>
        <w:tc>
          <w:tcPr>
            <w:tcW w:w="5874" w:type="dxa"/>
            <w:gridSpan w:val="3"/>
            <w:shd w:val="clear" w:color="auto" w:fill="auto"/>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500万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8279" w:type="dxa"/>
            <w:gridSpan w:val="4"/>
            <w:shd w:val="clear" w:color="auto" w:fill="auto"/>
            <w:noWrap/>
            <w:vAlign w:val="center"/>
          </w:tcPr>
          <w:p>
            <w:pPr>
              <w:widowControl/>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公司经营状况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主营业务</w:t>
            </w:r>
          </w:p>
        </w:tc>
        <w:tc>
          <w:tcPr>
            <w:tcW w:w="5874" w:type="dxa"/>
            <w:gridSpan w:val="3"/>
            <w:shd w:val="clear" w:color="auto" w:fill="auto"/>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技术服务、技术开发、技术咨询、技术交流、技术转让、数据处理服务、计算机软硬件及辅助设备批发、零售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1"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公司简介</w:t>
            </w:r>
          </w:p>
        </w:tc>
        <w:tc>
          <w:tcPr>
            <w:tcW w:w="5874" w:type="dxa"/>
            <w:gridSpan w:val="3"/>
            <w:shd w:val="clear" w:color="auto" w:fill="auto"/>
            <w:noWrap/>
            <w:vAlign w:val="center"/>
          </w:tcPr>
          <w:p>
            <w:pPr>
              <w:widowControl/>
              <w:jc w:val="center"/>
              <w:rPr>
                <w:rFonts w:ascii="宋体" w:hAnsi="宋体" w:eastAsia="宋体" w:cs="宋体"/>
                <w:color w:val="000000"/>
                <w:kern w:val="0"/>
                <w:sz w:val="22"/>
              </w:rPr>
            </w:pPr>
          </w:p>
          <w:p>
            <w:pPr>
              <w:widowControl/>
              <w:jc w:val="center"/>
              <w:rPr>
                <w:rFonts w:ascii="宋体" w:hAnsi="宋体" w:eastAsia="宋体" w:cs="宋体"/>
                <w:color w:val="000000"/>
                <w:kern w:val="0"/>
                <w:sz w:val="22"/>
              </w:rPr>
            </w:pPr>
          </w:p>
          <w:p>
            <w:pPr>
              <w:widowControl/>
              <w:jc w:val="center"/>
              <w:rPr>
                <w:rFonts w:ascii="宋体" w:hAnsi="宋体" w:eastAsia="宋体" w:cs="宋体"/>
                <w:color w:val="000000"/>
                <w:kern w:val="0"/>
                <w:sz w:val="22"/>
              </w:rPr>
            </w:pPr>
          </w:p>
          <w:p>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西安京卡物联科技有限公司（以下简称“京卡物联”）</w:t>
            </w:r>
            <w:r>
              <w:rPr>
                <w:rFonts w:hint="eastAsia" w:ascii="宋体" w:hAnsi="宋体" w:eastAsia="宋体" w:cs="宋体"/>
                <w:color w:val="000000"/>
                <w:kern w:val="0"/>
                <w:sz w:val="22"/>
                <w:lang w:eastAsia="zh-CN"/>
              </w:rPr>
              <w:t>，</w:t>
            </w:r>
            <w:r>
              <w:rPr>
                <w:rFonts w:hint="eastAsia" w:ascii="宋体" w:hAnsi="宋体" w:eastAsia="宋体" w:cs="宋体"/>
                <w:color w:val="000000"/>
                <w:kern w:val="0"/>
                <w:sz w:val="22"/>
              </w:rPr>
              <w:t>总部位于北京，是由中国物流与采购联合会多位专家发起设立的物流科技企业。京卡物联以互通物流产业资源为核心价值，以供应链增值服务、供应链金融服务、物流行业数据分析、物流节点智能化运营、物流行业发展规划、物流经济运行分析等为主营业务，以释放物流产业数据价值、引领行业安全合规发展为使命，致力于建设全国互联的物流产业数字经济生态。</w:t>
            </w:r>
          </w:p>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京卡物联依托中国物流与采购联合会，并联合全国诚信物流平台，立足物流数据的充分整合和深度挖掘，以及数字化物流平台和解决方案的研发与构建，努力建设全国物流产业链互联互通、实时监管、统计分析平台。陕西绥德县、云南丽江已建成使用，另有三个园区在实时落地，为企业提供了网络货运监管服务平台、煤炭短倒监控定位等系统和其它综合解决方案均得到了一致好评。</w:t>
            </w:r>
          </w:p>
          <w:p>
            <w:pPr>
              <w:widowControl/>
              <w:jc w:val="center"/>
              <w:rPr>
                <w:rFonts w:ascii="宋体" w:hAnsi="宋体" w:eastAsia="宋体" w:cs="宋体"/>
                <w:color w:val="000000"/>
                <w:kern w:val="0"/>
                <w:sz w:val="22"/>
              </w:rPr>
            </w:pPr>
          </w:p>
          <w:p>
            <w:pPr>
              <w:widowControl/>
              <w:jc w:val="center"/>
              <w:rPr>
                <w:rFonts w:ascii="宋体" w:hAnsi="宋体" w:eastAsia="宋体" w:cs="宋体"/>
                <w:color w:val="000000"/>
                <w:kern w:val="0"/>
                <w:sz w:val="22"/>
              </w:rPr>
            </w:pPr>
          </w:p>
          <w:p>
            <w:pPr>
              <w:widowControl/>
              <w:jc w:val="center"/>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1" w:hRule="atLeast"/>
        </w:trPr>
        <w:tc>
          <w:tcPr>
            <w:tcW w:w="2405"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公司业绩简介</w:t>
            </w:r>
          </w:p>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（列三个）</w:t>
            </w:r>
          </w:p>
        </w:tc>
        <w:tc>
          <w:tcPr>
            <w:tcW w:w="5874" w:type="dxa"/>
            <w:gridSpan w:val="3"/>
            <w:shd w:val="clear" w:color="auto" w:fill="auto"/>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陕西绥德网络货运园区监管平台建设方</w:t>
            </w:r>
          </w:p>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云南省丽江市网络货运园区监管平台建设方</w:t>
            </w:r>
          </w:p>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2021年度物流服务平台优秀案例</w:t>
            </w:r>
            <w:r>
              <w:rPr>
                <w:rFonts w:hint="eastAsia" w:ascii="宋体" w:hAnsi="宋体" w:eastAsia="宋体" w:cs="宋体"/>
                <w:color w:val="000000"/>
                <w:kern w:val="0"/>
                <w:sz w:val="22"/>
                <w:lang w:val="en-US" w:eastAsia="zh-CN"/>
              </w:rPr>
              <w:br w:type="textWrapping"/>
            </w:r>
            <w:r>
              <w:rPr>
                <w:rFonts w:hint="eastAsia" w:ascii="宋体" w:hAnsi="宋体" w:eastAsia="宋体" w:cs="宋体"/>
                <w:color w:val="000000"/>
                <w:kern w:val="0"/>
                <w:sz w:val="22"/>
                <w:lang w:val="en-US" w:eastAsia="zh-CN"/>
              </w:rPr>
              <w:t>（中国物流与采购联合会评选）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2405" w:type="dxa"/>
            <w:shd w:val="clear" w:color="auto" w:fill="auto"/>
            <w:noWrap/>
            <w:vAlign w:val="center"/>
          </w:tcPr>
          <w:p>
            <w:pPr>
              <w:widowControl/>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申请服务区域</w:t>
            </w:r>
          </w:p>
        </w:tc>
        <w:tc>
          <w:tcPr>
            <w:tcW w:w="5874" w:type="dxa"/>
            <w:gridSpan w:val="3"/>
            <w:shd w:val="clear" w:color="auto" w:fill="auto"/>
            <w:noWrap/>
            <w:vAlign w:val="center"/>
          </w:tcPr>
          <w:p>
            <w:pPr>
              <w:widowControl/>
              <w:jc w:val="center"/>
              <w:rPr>
                <w:rFonts w:hint="default"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陕西省、云南省、四川省、甘肃省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8279" w:type="dxa"/>
            <w:gridSpan w:val="4"/>
            <w:shd w:val="clear" w:color="auto" w:fill="auto"/>
            <w:noWrap/>
            <w:vAlign w:val="center"/>
          </w:tcPr>
          <w:p>
            <w:pPr>
              <w:widowControl/>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联系信息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经营地址</w:t>
            </w:r>
          </w:p>
        </w:tc>
        <w:tc>
          <w:tcPr>
            <w:tcW w:w="2126"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xml:space="preserve">　陕西省西安市高新区天谷八路156号软件新城二期D座科大讯飞101 </w:t>
            </w:r>
          </w:p>
        </w:tc>
        <w:tc>
          <w:tcPr>
            <w:tcW w:w="1843"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联系人</w:t>
            </w:r>
          </w:p>
        </w:tc>
        <w:tc>
          <w:tcPr>
            <w:tcW w:w="1905" w:type="dxa"/>
            <w:shd w:val="clear" w:color="auto" w:fill="auto"/>
            <w:noWrap/>
            <w:vAlign w:val="center"/>
          </w:tcPr>
          <w:p>
            <w:pPr>
              <w:widowControl/>
              <w:jc w:val="left"/>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rPr>
              <w:t>　</w:t>
            </w:r>
            <w:r>
              <w:rPr>
                <w:rFonts w:hint="eastAsia" w:ascii="宋体" w:hAnsi="宋体" w:eastAsia="宋体" w:cs="宋体"/>
                <w:color w:val="000000"/>
                <w:kern w:val="0"/>
                <w:sz w:val="22"/>
                <w:lang w:val="en-US" w:eastAsia="zh-CN"/>
              </w:rPr>
              <w:t>焦世鑫</w:t>
            </w:r>
          </w:p>
          <w:p>
            <w:pPr>
              <w:widowControl/>
              <w:jc w:val="left"/>
              <w:rPr>
                <w:rFonts w:hint="eastAsia" w:ascii="宋体" w:hAnsi="宋体" w:eastAsia="宋体" w:cs="宋体"/>
                <w:color w:val="000000"/>
                <w:kern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电话</w:t>
            </w:r>
          </w:p>
        </w:tc>
        <w:tc>
          <w:tcPr>
            <w:tcW w:w="2126"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13619208333</w:t>
            </w:r>
          </w:p>
        </w:tc>
        <w:tc>
          <w:tcPr>
            <w:tcW w:w="1843"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邮箱</w:t>
            </w:r>
          </w:p>
        </w:tc>
        <w:tc>
          <w:tcPr>
            <w:tcW w:w="1905" w:type="dxa"/>
            <w:shd w:val="clear" w:color="auto" w:fill="auto"/>
            <w:noWrap/>
            <w:vAlign w:val="center"/>
          </w:tcPr>
          <w:p>
            <w:pPr>
              <w:widowControl/>
              <w:jc w:val="left"/>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751110023@qq.com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5" w:hRule="atLeast"/>
        </w:trPr>
        <w:tc>
          <w:tcPr>
            <w:tcW w:w="2405"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在市场上有哪些优势</w:t>
            </w:r>
          </w:p>
        </w:tc>
        <w:tc>
          <w:tcPr>
            <w:tcW w:w="5874" w:type="dxa"/>
            <w:gridSpan w:val="3"/>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lang w:val="en-US" w:eastAsia="zh-CN"/>
              </w:rPr>
              <w:t>目前已对接确认开发服务网络货运园区三个，接洽网络货运园区一个，园区每年网络货运交易量均超百亿，在为网络货运园区提供一体化服务时，第三方验证的信息化服务必不可少</w:t>
            </w:r>
            <w:r>
              <w:rPr>
                <w:rFonts w:hint="eastAsia" w:ascii="宋体" w:hAnsi="宋体" w:eastAsia="宋体" w:cs="宋体"/>
                <w:color w:val="000000"/>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5"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业务开展计划</w:t>
            </w:r>
          </w:p>
        </w:tc>
        <w:tc>
          <w:tcPr>
            <w:tcW w:w="5874" w:type="dxa"/>
            <w:gridSpan w:val="3"/>
            <w:shd w:val="clear" w:color="auto" w:fill="auto"/>
            <w:noWrap/>
            <w:vAlign w:val="center"/>
          </w:tcPr>
          <w:p>
            <w:pPr>
              <w:widowControl/>
              <w:jc w:val="left"/>
              <w:rPr>
                <w:rFonts w:hint="default" w:ascii="宋体" w:hAnsi="宋体" w:eastAsia="宋体" w:cs="宋体"/>
                <w:color w:val="000000"/>
                <w:kern w:val="0"/>
                <w:sz w:val="22"/>
                <w:lang w:val="en-US"/>
              </w:rPr>
            </w:pPr>
            <w:r>
              <w:rPr>
                <w:rFonts w:hint="eastAsia" w:ascii="宋体" w:hAnsi="宋体" w:eastAsia="宋体" w:cs="宋体"/>
                <w:color w:val="000000"/>
                <w:kern w:val="0"/>
                <w:sz w:val="22"/>
                <w:lang w:val="en-US" w:eastAsia="zh-CN"/>
              </w:rPr>
              <w:t>基于现有园区服务模式，结合当地网络货运监管要求，通过云雁接口，让企业在日常中优先实现数据自查，确保服务规范，业务真实。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5" w:hRule="atLeast"/>
        </w:trPr>
        <w:tc>
          <w:tcPr>
            <w:tcW w:w="2405" w:type="dxa"/>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拟投入人力</w:t>
            </w:r>
          </w:p>
        </w:tc>
        <w:tc>
          <w:tcPr>
            <w:tcW w:w="5874" w:type="dxa"/>
            <w:gridSpan w:val="3"/>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各税源地园区1人，总部1人，拟投入人数5人</w:t>
            </w:r>
            <w:r>
              <w:rPr>
                <w:rFonts w:hint="eastAsia" w:ascii="宋体" w:hAnsi="宋体" w:eastAsia="宋体" w:cs="宋体"/>
                <w:color w:val="000000"/>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8279" w:type="dxa"/>
            <w:gridSpan w:val="4"/>
            <w:vMerge w:val="restart"/>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xml:space="preserve">                                                                                                                                                                                 </w:t>
            </w:r>
          </w:p>
          <w:p>
            <w:pPr>
              <w:widowControl/>
              <w:jc w:val="left"/>
              <w:rPr>
                <w:rFonts w:ascii="宋体" w:hAnsi="宋体" w:eastAsia="宋体" w:cs="宋体"/>
                <w:color w:val="000000"/>
                <w:kern w:val="0"/>
                <w:sz w:val="22"/>
              </w:rPr>
            </w:pPr>
          </w:p>
          <w:p>
            <w:pPr>
              <w:widowControl/>
              <w:jc w:val="left"/>
              <w:rPr>
                <w:rFonts w:ascii="宋体" w:hAnsi="宋体" w:eastAsia="宋体" w:cs="宋体"/>
                <w:color w:val="000000"/>
                <w:kern w:val="0"/>
                <w:sz w:val="22"/>
              </w:rPr>
            </w:pPr>
          </w:p>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xml:space="preserve">申请人（盖公章）：    </w:t>
            </w:r>
            <w:r>
              <w:rPr>
                <w:rFonts w:ascii="宋体" w:hAnsi="宋体" w:eastAsia="宋体" w:cs="宋体"/>
                <w:color w:val="000000"/>
                <w:kern w:val="0"/>
                <w:sz w:val="22"/>
              </w:rPr>
              <w:t xml:space="preserve">                    </w:t>
            </w:r>
            <w:r>
              <w:rPr>
                <w:rFonts w:hint="eastAsia" w:ascii="宋体" w:hAnsi="宋体" w:eastAsia="宋体" w:cs="宋体"/>
                <w:color w:val="000000"/>
                <w:kern w:val="0"/>
                <w:sz w:val="22"/>
              </w:rPr>
              <w:t>代表人（签字）：</w:t>
            </w:r>
          </w:p>
          <w:p>
            <w:pPr>
              <w:widowControl/>
              <w:jc w:val="right"/>
              <w:rPr>
                <w:rFonts w:ascii="宋体" w:hAnsi="宋体" w:eastAsia="宋体" w:cs="宋体"/>
                <w:color w:val="000000"/>
                <w:kern w:val="0"/>
                <w:sz w:val="22"/>
              </w:rPr>
            </w:pPr>
            <w:r>
              <w:rPr>
                <w:rFonts w:hint="eastAsia" w:ascii="宋体" w:hAnsi="宋体" w:eastAsia="宋体" w:cs="宋体"/>
                <w:color w:val="000000"/>
                <w:kern w:val="0"/>
                <w:sz w:val="22"/>
              </w:rPr>
              <w:t xml:space="preserve"> </w:t>
            </w:r>
            <w:r>
              <w:rPr>
                <w:rFonts w:ascii="宋体" w:hAnsi="宋体" w:eastAsia="宋体" w:cs="宋体"/>
                <w:color w:val="000000"/>
                <w:kern w:val="0"/>
                <w:sz w:val="22"/>
              </w:rPr>
              <w:t xml:space="preserve">                                             </w:t>
            </w:r>
            <w:r>
              <w:rPr>
                <w:rFonts w:hint="eastAsia" w:ascii="宋体" w:hAnsi="宋体" w:eastAsia="宋体" w:cs="宋体"/>
                <w:color w:val="000000"/>
                <w:kern w:val="0"/>
                <w:sz w:val="22"/>
              </w:rPr>
              <w:t xml:space="preserve">年 </w:t>
            </w:r>
            <w:r>
              <w:rPr>
                <w:rFonts w:ascii="宋体" w:hAnsi="宋体" w:eastAsia="宋体" w:cs="宋体"/>
                <w:color w:val="000000"/>
                <w:kern w:val="0"/>
                <w:sz w:val="22"/>
              </w:rPr>
              <w:t xml:space="preserve"> </w:t>
            </w:r>
            <w:r>
              <w:rPr>
                <w:rFonts w:hint="eastAsia" w:ascii="宋体" w:hAnsi="宋体" w:eastAsia="宋体" w:cs="宋体"/>
                <w:color w:val="000000"/>
                <w:kern w:val="0"/>
                <w:sz w:val="22"/>
              </w:rPr>
              <w:t xml:space="preserve">月 </w:t>
            </w:r>
            <w:r>
              <w:rPr>
                <w:rFonts w:ascii="宋体" w:hAnsi="宋体" w:eastAsia="宋体" w:cs="宋体"/>
                <w:color w:val="000000"/>
                <w:kern w:val="0"/>
                <w:sz w:val="22"/>
              </w:rPr>
              <w:t xml:space="preserve"> </w:t>
            </w:r>
            <w:r>
              <w:rPr>
                <w:rFonts w:hint="eastAsia" w:ascii="宋体" w:hAnsi="宋体" w:eastAsia="宋体" w:cs="宋体"/>
                <w:color w:val="000000"/>
                <w:kern w:val="0"/>
                <w:sz w:val="2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279" w:type="dxa"/>
            <w:gridSpan w:val="4"/>
            <w:vMerge w:val="continue"/>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279" w:type="dxa"/>
            <w:gridSpan w:val="4"/>
            <w:vMerge w:val="continue"/>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279" w:type="dxa"/>
            <w:gridSpan w:val="4"/>
            <w:vMerge w:val="continue"/>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279" w:type="dxa"/>
            <w:gridSpan w:val="4"/>
            <w:vMerge w:val="continue"/>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79" w:type="dxa"/>
            <w:gridSpan w:val="4"/>
            <w:shd w:val="clear" w:color="auto" w:fill="auto"/>
            <w:noWrap/>
            <w:vAlign w:val="center"/>
          </w:tcPr>
          <w:p>
            <w:pPr>
              <w:widowControl/>
              <w:jc w:val="left"/>
              <w:rPr>
                <w:rFonts w:ascii="Times New Roman" w:hAnsi="Times New Roman" w:eastAsia="Times New Roman" w:cs="Times New Roman"/>
                <w:kern w:val="0"/>
                <w:sz w:val="20"/>
                <w:szCs w:val="20"/>
              </w:rPr>
            </w:pPr>
            <w:r>
              <w:rPr>
                <w:rFonts w:hint="eastAsia" w:ascii="宋体" w:hAnsi="宋体" w:eastAsia="宋体" w:cs="宋体"/>
                <w:color w:val="000000"/>
                <w:kern w:val="0"/>
                <w:sz w:val="22"/>
              </w:rPr>
              <w:t>注：后附企业营业执照、法人身份证复印件及联系人身份证复印件</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4F1D8C"/>
    <w:multiLevelType w:val="multilevel"/>
    <w:tmpl w:val="374F1D8C"/>
    <w:lvl w:ilvl="0" w:tentative="0">
      <w:start w:val="1"/>
      <w:numFmt w:val="japaneseCounting"/>
      <w:lvlText w:val="第%1章"/>
      <w:lvlJc w:val="left"/>
      <w:pPr>
        <w:ind w:left="980" w:hanging="9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8407B5B"/>
    <w:multiLevelType w:val="multilevel"/>
    <w:tmpl w:val="48407B5B"/>
    <w:lvl w:ilvl="0" w:tentative="0">
      <w:start w:val="2"/>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4D48161C"/>
    <w:multiLevelType w:val="multilevel"/>
    <w:tmpl w:val="4D48161C"/>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551"/>
    <w:rsid w:val="00002709"/>
    <w:rsid w:val="00034140"/>
    <w:rsid w:val="000348D8"/>
    <w:rsid w:val="0003529E"/>
    <w:rsid w:val="000353D3"/>
    <w:rsid w:val="00040DB0"/>
    <w:rsid w:val="00042852"/>
    <w:rsid w:val="00052774"/>
    <w:rsid w:val="000670E5"/>
    <w:rsid w:val="000716CC"/>
    <w:rsid w:val="000848BD"/>
    <w:rsid w:val="000A6069"/>
    <w:rsid w:val="000C0155"/>
    <w:rsid w:val="000C49ED"/>
    <w:rsid w:val="000F3EE4"/>
    <w:rsid w:val="0010623C"/>
    <w:rsid w:val="00114033"/>
    <w:rsid w:val="00151E85"/>
    <w:rsid w:val="0016193E"/>
    <w:rsid w:val="00174EA7"/>
    <w:rsid w:val="00195E51"/>
    <w:rsid w:val="001A313D"/>
    <w:rsid w:val="001A7E67"/>
    <w:rsid w:val="001B3B5D"/>
    <w:rsid w:val="001D3F0D"/>
    <w:rsid w:val="001E67FF"/>
    <w:rsid w:val="0023351C"/>
    <w:rsid w:val="002407CA"/>
    <w:rsid w:val="002530A2"/>
    <w:rsid w:val="00280141"/>
    <w:rsid w:val="002916DA"/>
    <w:rsid w:val="002B3EF2"/>
    <w:rsid w:val="002C268A"/>
    <w:rsid w:val="002D5CEF"/>
    <w:rsid w:val="002E6F5F"/>
    <w:rsid w:val="002F4ACF"/>
    <w:rsid w:val="00316181"/>
    <w:rsid w:val="00326486"/>
    <w:rsid w:val="003407E7"/>
    <w:rsid w:val="00350DF0"/>
    <w:rsid w:val="00376445"/>
    <w:rsid w:val="003A5057"/>
    <w:rsid w:val="003B6F64"/>
    <w:rsid w:val="0042026A"/>
    <w:rsid w:val="00430326"/>
    <w:rsid w:val="004807C4"/>
    <w:rsid w:val="00491944"/>
    <w:rsid w:val="00492331"/>
    <w:rsid w:val="0049769C"/>
    <w:rsid w:val="004C4235"/>
    <w:rsid w:val="0050535B"/>
    <w:rsid w:val="00507776"/>
    <w:rsid w:val="00535C56"/>
    <w:rsid w:val="00536D30"/>
    <w:rsid w:val="00540C0C"/>
    <w:rsid w:val="005812DF"/>
    <w:rsid w:val="00583692"/>
    <w:rsid w:val="00593924"/>
    <w:rsid w:val="005959A7"/>
    <w:rsid w:val="005B6B5D"/>
    <w:rsid w:val="005E2D97"/>
    <w:rsid w:val="005E3ECE"/>
    <w:rsid w:val="005F4828"/>
    <w:rsid w:val="006119C0"/>
    <w:rsid w:val="00612600"/>
    <w:rsid w:val="00632967"/>
    <w:rsid w:val="00633BDE"/>
    <w:rsid w:val="00682551"/>
    <w:rsid w:val="006B29F2"/>
    <w:rsid w:val="006F6F9B"/>
    <w:rsid w:val="00701568"/>
    <w:rsid w:val="00712BF8"/>
    <w:rsid w:val="0073161B"/>
    <w:rsid w:val="007401BF"/>
    <w:rsid w:val="00752799"/>
    <w:rsid w:val="00795AC5"/>
    <w:rsid w:val="007A79AB"/>
    <w:rsid w:val="007C4469"/>
    <w:rsid w:val="007D3442"/>
    <w:rsid w:val="007F0755"/>
    <w:rsid w:val="007F4E37"/>
    <w:rsid w:val="00806DBA"/>
    <w:rsid w:val="008323CE"/>
    <w:rsid w:val="00847F76"/>
    <w:rsid w:val="00863B39"/>
    <w:rsid w:val="0087549F"/>
    <w:rsid w:val="008911C7"/>
    <w:rsid w:val="008977D7"/>
    <w:rsid w:val="008E24F1"/>
    <w:rsid w:val="00911502"/>
    <w:rsid w:val="009416BA"/>
    <w:rsid w:val="009438E3"/>
    <w:rsid w:val="009572BF"/>
    <w:rsid w:val="00994CB6"/>
    <w:rsid w:val="009B58D2"/>
    <w:rsid w:val="009C46CE"/>
    <w:rsid w:val="009E203D"/>
    <w:rsid w:val="009F406C"/>
    <w:rsid w:val="00A124C1"/>
    <w:rsid w:val="00A2324A"/>
    <w:rsid w:val="00A51EE8"/>
    <w:rsid w:val="00A60262"/>
    <w:rsid w:val="00AC34DF"/>
    <w:rsid w:val="00AD6A30"/>
    <w:rsid w:val="00AD7453"/>
    <w:rsid w:val="00AE436A"/>
    <w:rsid w:val="00AE6CEB"/>
    <w:rsid w:val="00AF076C"/>
    <w:rsid w:val="00B45322"/>
    <w:rsid w:val="00B53DB0"/>
    <w:rsid w:val="00B7192B"/>
    <w:rsid w:val="00B879DA"/>
    <w:rsid w:val="00BB4B9F"/>
    <w:rsid w:val="00C139E3"/>
    <w:rsid w:val="00C62C79"/>
    <w:rsid w:val="00C63180"/>
    <w:rsid w:val="00CF46D2"/>
    <w:rsid w:val="00D00B68"/>
    <w:rsid w:val="00D01782"/>
    <w:rsid w:val="00D103E7"/>
    <w:rsid w:val="00D143AD"/>
    <w:rsid w:val="00D26281"/>
    <w:rsid w:val="00D50ABA"/>
    <w:rsid w:val="00D60C0E"/>
    <w:rsid w:val="00D84BDE"/>
    <w:rsid w:val="00D901B3"/>
    <w:rsid w:val="00DA73E3"/>
    <w:rsid w:val="00DB27DB"/>
    <w:rsid w:val="00E0199A"/>
    <w:rsid w:val="00E033B4"/>
    <w:rsid w:val="00E6242A"/>
    <w:rsid w:val="00EA7127"/>
    <w:rsid w:val="00EC06D8"/>
    <w:rsid w:val="00ED11DD"/>
    <w:rsid w:val="00EF6B1E"/>
    <w:rsid w:val="00F13621"/>
    <w:rsid w:val="00F563F3"/>
    <w:rsid w:val="00F7784A"/>
    <w:rsid w:val="00F80A9F"/>
    <w:rsid w:val="00F97756"/>
    <w:rsid w:val="00FC24BB"/>
    <w:rsid w:val="00FD5950"/>
    <w:rsid w:val="00FE6351"/>
    <w:rsid w:val="00FE7FA8"/>
    <w:rsid w:val="11E11250"/>
    <w:rsid w:val="3A8D6622"/>
    <w:rsid w:val="3A8E2C59"/>
    <w:rsid w:val="54990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120" w:after="120" w:line="578" w:lineRule="auto"/>
      <w:jc w:val="center"/>
      <w:outlineLvl w:val="0"/>
    </w:pPr>
    <w:rPr>
      <w:rFonts w:eastAsia="仿宋"/>
      <w:b/>
      <w:bCs/>
      <w:kern w:val="44"/>
      <w:sz w:val="30"/>
      <w:szCs w:val="44"/>
    </w:rPr>
  </w:style>
  <w:style w:type="paragraph" w:styleId="3">
    <w:name w:val="heading 2"/>
    <w:basedOn w:val="1"/>
    <w:next w:val="1"/>
    <w:link w:val="13"/>
    <w:unhideWhenUsed/>
    <w:qFormat/>
    <w:uiPriority w:val="9"/>
    <w:pPr>
      <w:keepNext/>
      <w:keepLines/>
      <w:spacing w:line="416" w:lineRule="auto"/>
      <w:outlineLvl w:val="1"/>
    </w:pPr>
    <w:rPr>
      <w:rFonts w:eastAsia="仿宋" w:asciiTheme="majorHAnsi" w:hAnsiTheme="majorHAnsi" w:cstheme="majorBidi"/>
      <w:b/>
      <w:bCs/>
      <w:sz w:val="28"/>
      <w:szCs w:val="32"/>
    </w:rPr>
  </w:style>
  <w:style w:type="paragraph" w:styleId="4">
    <w:name w:val="heading 3"/>
    <w:basedOn w:val="1"/>
    <w:next w:val="1"/>
    <w:link w:val="14"/>
    <w:unhideWhenUsed/>
    <w:qFormat/>
    <w:uiPriority w:val="9"/>
    <w:pPr>
      <w:keepNext/>
      <w:keepLines/>
      <w:spacing w:before="20" w:after="20" w:line="416" w:lineRule="auto"/>
      <w:outlineLvl w:val="2"/>
    </w:pPr>
    <w:rPr>
      <w:rFonts w:eastAsia="仿宋"/>
      <w:b/>
      <w:bCs/>
      <w:sz w:val="24"/>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字符"/>
    <w:basedOn w:val="8"/>
    <w:link w:val="6"/>
    <w:qFormat/>
    <w:uiPriority w:val="99"/>
    <w:rPr>
      <w:sz w:val="18"/>
      <w:szCs w:val="18"/>
    </w:rPr>
  </w:style>
  <w:style w:type="character" w:customStyle="1" w:styleId="10">
    <w:name w:val="页脚 字符"/>
    <w:basedOn w:val="8"/>
    <w:link w:val="5"/>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标题 1 字符"/>
    <w:basedOn w:val="8"/>
    <w:link w:val="2"/>
    <w:qFormat/>
    <w:uiPriority w:val="9"/>
    <w:rPr>
      <w:rFonts w:eastAsia="仿宋"/>
      <w:b/>
      <w:bCs/>
      <w:kern w:val="44"/>
      <w:sz w:val="30"/>
      <w:szCs w:val="44"/>
    </w:rPr>
  </w:style>
  <w:style w:type="character" w:customStyle="1" w:styleId="13">
    <w:name w:val="标题 2 字符"/>
    <w:basedOn w:val="8"/>
    <w:link w:val="3"/>
    <w:qFormat/>
    <w:uiPriority w:val="9"/>
    <w:rPr>
      <w:rFonts w:eastAsia="仿宋" w:asciiTheme="majorHAnsi" w:hAnsiTheme="majorHAnsi" w:cstheme="majorBidi"/>
      <w:b/>
      <w:bCs/>
      <w:sz w:val="28"/>
      <w:szCs w:val="32"/>
    </w:rPr>
  </w:style>
  <w:style w:type="character" w:customStyle="1" w:styleId="14">
    <w:name w:val="标题 3 字符"/>
    <w:basedOn w:val="8"/>
    <w:link w:val="4"/>
    <w:qFormat/>
    <w:uiPriority w:val="9"/>
    <w:rPr>
      <w:rFonts w:eastAsia="仿宋"/>
      <w:b/>
      <w:bCs/>
      <w:sz w:val="24"/>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654</Words>
  <Characters>3732</Characters>
  <Lines>31</Lines>
  <Paragraphs>8</Paragraphs>
  <TotalTime>10</TotalTime>
  <ScaleCrop>false</ScaleCrop>
  <LinksUpToDate>false</LinksUpToDate>
  <CharactersWithSpaces>4378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2021-08-20T01:57:00Z</dcterms:created>
  <dc:creator>Always Zhao</dc:creator>
  <cp:lastModifiedBy>零。</cp:lastModifiedBy>
  <dcterms:modified xsi:type="dcterms:W3CDTF">2021-09-26T06:57:46Z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A25F263101EF46738E83BB52466BEF8C</vt:lpwstr>
  </property>
</Properties>
</file>