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bookmarkStart w:id="0" w:name="_GoBack"/>
      <w:bookmarkEnd w:id="0"/>
      <w:r>
        <w:rPr>
          <w:rFonts w:hint="eastAsia"/>
          <w:lang w:val="en-US" w:eastAsia="zh-CN"/>
        </w:rPr>
        <w:t>关于绥德网络货运监管服务平台</w:t>
      </w:r>
      <w:r>
        <w:rPr>
          <w:rFonts w:hint="eastAsia"/>
          <w:lang w:val="en-US" w:eastAsia="zh-CN"/>
        </w:rPr>
        <w:br w:type="textWrapping"/>
      </w:r>
      <w:r>
        <w:rPr>
          <w:rFonts w:hint="eastAsia"/>
          <w:lang w:val="en-US" w:eastAsia="zh-CN"/>
        </w:rPr>
        <w:t>2022年优化升级计划汇报</w:t>
      </w:r>
    </w:p>
    <w:p>
      <w:pPr>
        <w:numPr>
          <w:ilvl w:val="0"/>
          <w:numId w:val="1"/>
        </w:numPr>
        <w:rPr>
          <w:rFonts w:hint="eastAsia"/>
          <w:sz w:val="28"/>
          <w:szCs w:val="28"/>
          <w:lang w:val="en-US" w:eastAsia="zh-CN"/>
        </w:rPr>
      </w:pPr>
      <w:r>
        <w:rPr>
          <w:rFonts w:hint="eastAsia"/>
          <w:sz w:val="28"/>
          <w:szCs w:val="28"/>
          <w:lang w:val="en-US" w:eastAsia="zh-CN"/>
        </w:rPr>
        <w:t>近年来国家在税务方面的网络货运数字化监管文件、政策。</w:t>
      </w:r>
    </w:p>
    <w:p>
      <w:pPr>
        <w:numPr>
          <w:ilvl w:val="0"/>
          <w:numId w:val="0"/>
        </w:numPr>
        <w:ind w:firstLine="480" w:firstLineChars="200"/>
        <w:rPr>
          <w:rFonts w:hint="eastAsia"/>
          <w:sz w:val="24"/>
          <w:szCs w:val="32"/>
          <w:lang w:val="en-US" w:eastAsia="zh-CN"/>
        </w:rPr>
      </w:pPr>
      <w:r>
        <w:rPr>
          <w:rFonts w:hint="eastAsia"/>
          <w:sz w:val="24"/>
          <w:szCs w:val="32"/>
          <w:lang w:val="en-US" w:eastAsia="zh-CN"/>
        </w:rPr>
        <w:t>近年来，物流行业步入了“互联网+”的新经济时代，物流的组织方式快速转变，平台化、生态化、数字化已成为行业的主要趋势。随着产业结构的不断变化，国办发〔2016〕69号文件精神《国务院办公厅关于转发国家发展改革委物流业降本增效专项行动方案（2016—2018年）的通知》明确指出支持依托互联网平台的“无车承运人”发展；国办发〔2017〕72号文件发布《国务院办公厅关于推进线上线下互通加快商贸流通创新发展转型升级的意见》做出了明确指导，鼓励依托互联网平台的“无车承运人”发展。</w:t>
      </w:r>
    </w:p>
    <w:p>
      <w:pPr>
        <w:numPr>
          <w:ilvl w:val="0"/>
          <w:numId w:val="0"/>
        </w:numPr>
        <w:ind w:firstLine="480" w:firstLineChars="200"/>
        <w:rPr>
          <w:rFonts w:hint="eastAsia"/>
          <w:sz w:val="24"/>
          <w:szCs w:val="32"/>
          <w:lang w:val="en-US" w:eastAsia="zh-CN"/>
        </w:rPr>
      </w:pPr>
      <w:r>
        <w:rPr>
          <w:rFonts w:hint="eastAsia"/>
          <w:sz w:val="24"/>
          <w:szCs w:val="32"/>
          <w:lang w:val="en-US" w:eastAsia="zh-CN"/>
        </w:rPr>
        <w:t>交通运输部、国家税务总局为了贯彻落实国务院关于促进平台经济规范健康发展的决策部署，规范网络平台道路货物运输经营，维护道路货物运输市场秩序，促进物流业降本增效，交通运输部、国家税务总局在系统总结无车承运人试点工作的基础上，制定了交运〔2019〕12号文件《网络平台道路货物运输经营管理暂行办法》的通知（以下简称“办法”），文件明确指出从2020年1月1日起，试点企业可按照《办法》规定要求，申请经营范围为“网络货运”的道路运输经营许可。</w:t>
      </w:r>
      <w:r>
        <w:rPr>
          <w:rFonts w:hint="eastAsia"/>
          <w:sz w:val="24"/>
          <w:szCs w:val="32"/>
          <w:lang w:val="en-US" w:eastAsia="zh-CN"/>
        </w:rPr>
        <w:br w:type="textWrapping"/>
      </w:r>
      <w:r>
        <w:rPr>
          <w:rFonts w:hint="eastAsia"/>
          <w:sz w:val="28"/>
          <w:szCs w:val="36"/>
          <w:lang w:val="en-US" w:eastAsia="zh-CN"/>
        </w:rPr>
        <w:t>二、绥德网络货运开展以来的成果。</w:t>
      </w:r>
    </w:p>
    <w:p>
      <w:pPr>
        <w:numPr>
          <w:ilvl w:val="0"/>
          <w:numId w:val="0"/>
        </w:numPr>
        <w:ind w:firstLine="480" w:firstLineChars="200"/>
        <w:rPr>
          <w:rFonts w:hint="eastAsia"/>
          <w:sz w:val="24"/>
          <w:szCs w:val="32"/>
          <w:lang w:val="en-US" w:eastAsia="zh-CN"/>
        </w:rPr>
      </w:pPr>
      <w:r>
        <w:rPr>
          <w:rFonts w:hint="eastAsia"/>
          <w:sz w:val="24"/>
          <w:szCs w:val="32"/>
          <w:lang w:val="en-US" w:eastAsia="zh-CN"/>
        </w:rPr>
        <w:t>素有“秦汉名邦”“天下名州”之称的绥德，古称上郡、绥州。地处陕北交通要冲，东邻黄河与晋通，南接八百里秦川，北经米脂、榆林通达内蒙古，历来为兵家征战、商贾辐辏之地。远在汉代起，绥德就是南北物资交流的重要场所，后经历代发展融合，商贸优势不断凸显。在新中国成立后的计划经济时期，控制商品供应的榆林地区“八大公司”驻扎绥德。改革开放以来，绥德又成为榆林南部的物流、商贸中心，“旱码头”的区位优势进一步加强。陕北民间流传着：“大路上骡马牲灵往来不绝，小道上商贾市贩连绵不断。”　　时过境迁，绥德县曾经的交通优势逐渐淡化，车水马龙的商贸市场不复存在，工业基础的薄弱，市场设施的老化，辐射范围的萎缩，使绥德“旱码头”地位已经不再名副其实。如何再现“陕北旱码头”昔日的繁华，为绥德县域经济腾飞再添力量，成为困惑绥德县执政者的难题。</w:t>
      </w:r>
    </w:p>
    <w:p>
      <w:pPr>
        <w:numPr>
          <w:ilvl w:val="0"/>
          <w:numId w:val="0"/>
        </w:numPr>
        <w:rPr>
          <w:rFonts w:hint="eastAsia"/>
          <w:sz w:val="24"/>
          <w:szCs w:val="32"/>
          <w:lang w:val="en-US" w:eastAsia="zh-CN"/>
        </w:rPr>
      </w:pPr>
      <w:r>
        <w:rPr>
          <w:rFonts w:hint="eastAsia"/>
          <w:sz w:val="24"/>
          <w:szCs w:val="32"/>
          <w:lang w:val="en-US" w:eastAsia="zh-CN"/>
        </w:rPr>
        <w:t>　　2017年，绥德县主动联合榆林市政研、发改、财政、税务、交通等部门调研发现，西北地区现代物流发展普遍滞后，以煤炭运输方面为例，全市有10万辆运煤车，其中外地注册达8万辆、本地仅有2万辆；税收方面，数万辆车在天津、南京、成都、湖北等地区开票纳税，这些省市地区通过给予运输企业奖补等政策争夺陕北税源，造成税收与税源背离达百亿元。</w:t>
      </w:r>
    </w:p>
    <w:p>
      <w:pPr>
        <w:numPr>
          <w:ilvl w:val="0"/>
          <w:numId w:val="0"/>
        </w:numPr>
        <w:ind w:firstLine="480" w:firstLineChars="200"/>
        <w:rPr>
          <w:rFonts w:hint="eastAsia"/>
          <w:sz w:val="24"/>
          <w:szCs w:val="32"/>
          <w:lang w:val="en-US" w:eastAsia="zh-CN"/>
        </w:rPr>
      </w:pPr>
      <w:r>
        <w:rPr>
          <w:rFonts w:hint="eastAsia"/>
          <w:sz w:val="24"/>
          <w:szCs w:val="32"/>
          <w:lang w:val="en-US" w:eastAsia="zh-CN"/>
        </w:rPr>
        <w:t>此前，绥德县在相关调研中了解到，大多数货运企业都有自己的货运平台，但资源有限；部分地方政府整合了一部分货运平台后，物流企业也积极加入，地方税收显著增加。绥德拥有优越的交通资源，如果能把绥德的交通优势转化为经济发展的优势，就能助力县域经济转型升级高质量发展。</w:t>
      </w:r>
    </w:p>
    <w:p>
      <w:pPr>
        <w:numPr>
          <w:ilvl w:val="0"/>
          <w:numId w:val="0"/>
        </w:numPr>
        <w:ind w:firstLine="480" w:firstLineChars="200"/>
        <w:rPr>
          <w:rFonts w:hint="eastAsia"/>
          <w:sz w:val="24"/>
          <w:szCs w:val="32"/>
          <w:lang w:val="en-US" w:eastAsia="zh-CN"/>
        </w:rPr>
      </w:pPr>
      <w:r>
        <w:rPr>
          <w:rFonts w:hint="eastAsia"/>
          <w:sz w:val="24"/>
          <w:szCs w:val="32"/>
          <w:lang w:val="en-US" w:eastAsia="zh-CN"/>
        </w:rPr>
        <w:t>在绥德网络货运平台上，25家试点网络货运企业的合同、运单、资金流水、税票、司机管理等一目了然。通过网络货运大数据平台，优化物流运输组织效率，压减实际承运人的空车驾驶和等货时间，提高车辆利用率达50%左右，平均等货时间由2至3天缩短到8至10小时，降低交易成本6%至8%，实现了“车在线上、货在云中”全方位、一站式的数字网络服务。</w:t>
      </w:r>
    </w:p>
    <w:p>
      <w:pPr>
        <w:numPr>
          <w:ilvl w:val="0"/>
          <w:numId w:val="0"/>
        </w:numPr>
        <w:ind w:firstLine="480" w:firstLineChars="200"/>
        <w:rPr>
          <w:rFonts w:hint="eastAsia"/>
          <w:sz w:val="24"/>
          <w:szCs w:val="32"/>
          <w:lang w:val="en-US" w:eastAsia="zh-CN"/>
        </w:rPr>
      </w:pPr>
      <w:r>
        <w:rPr>
          <w:rFonts w:hint="eastAsia"/>
          <w:sz w:val="24"/>
          <w:szCs w:val="32"/>
          <w:lang w:val="en-US" w:eastAsia="zh-CN"/>
        </w:rPr>
        <w:t>在网络货运平台高效运行的同时，绥德县还紧紧围绕榆林能源“产运销”产业链部署创新链、围绕创新链布局产业链，先后与安徽路歌集团等网络货运企业合作投资1.14亿元，建设路歌集团西北区域后续市场汽车拆装、销售等项目；与绥北物流公司合作投资5亿元，建设公铁联运铁路货运站；与中燃中汇清洁能源公司、勇盛汽车检测等公司合作，完成投资9100万元，建立集车检、餐饮住宿、销售为一体的产业服务中心，初步形成数字经济与实体经济相融合、线上线下一体化发展的现代物流服务体系。</w:t>
      </w:r>
    </w:p>
    <w:p>
      <w:pPr>
        <w:numPr>
          <w:ilvl w:val="0"/>
          <w:numId w:val="0"/>
        </w:numPr>
        <w:ind w:firstLine="480" w:firstLineChars="200"/>
        <w:rPr>
          <w:rFonts w:hint="eastAsia"/>
          <w:sz w:val="24"/>
          <w:szCs w:val="32"/>
          <w:lang w:val="en-US" w:eastAsia="zh-CN"/>
        </w:rPr>
      </w:pPr>
      <w:r>
        <w:rPr>
          <w:rFonts w:hint="eastAsia"/>
          <w:sz w:val="24"/>
          <w:szCs w:val="32"/>
          <w:lang w:val="en-US" w:eastAsia="zh-CN"/>
        </w:rPr>
        <w:t>截至2020年12月底，绥德网络货运平台累计服务车辆46万辆，货运量达1.9亿吨，主要运输煤炭、矿石、化工原材料等23个品类的大宗商品，</w:t>
      </w:r>
      <w:r>
        <w:rPr>
          <w:rFonts w:hint="eastAsia"/>
          <w:sz w:val="24"/>
          <w:szCs w:val="32"/>
          <w:lang w:val="en-US" w:eastAsia="zh-CN"/>
        </w:rPr>
        <w:br w:type="textWrapping"/>
      </w:r>
      <w:r>
        <w:rPr>
          <w:rFonts w:hint="eastAsia"/>
          <w:sz w:val="28"/>
          <w:szCs w:val="36"/>
          <w:lang w:val="en-US" w:eastAsia="zh-CN"/>
        </w:rPr>
        <w:t>三、未来发展趋势和优化升级计划和预算。</w:t>
      </w:r>
    </w:p>
    <w:p>
      <w:pPr>
        <w:numPr>
          <w:ilvl w:val="0"/>
          <w:numId w:val="0"/>
        </w:numPr>
        <w:ind w:firstLine="480" w:firstLineChars="200"/>
        <w:rPr>
          <w:rFonts w:hint="eastAsia"/>
          <w:sz w:val="24"/>
          <w:szCs w:val="32"/>
          <w:lang w:val="en-US" w:eastAsia="zh-CN"/>
        </w:rPr>
      </w:pPr>
      <w:r>
        <w:rPr>
          <w:rFonts w:hint="eastAsia"/>
          <w:sz w:val="24"/>
          <w:szCs w:val="32"/>
          <w:lang w:val="en-US" w:eastAsia="zh-CN"/>
        </w:rPr>
        <w:t>截止11月29日，平台已记录交易运单额15559134686元，运单总数11171298条，车辆328100辆，司机316716人。结合现有数据，为将绥德打造成“互联网+现代物流+政务服务”区域总部基地的目标，现依托平台建设方中国物流协会升级现有网络货运监管服务平台。升级内容如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9"/>
        <w:gridCol w:w="4850"/>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功能名称</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功能介绍</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功能价格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新建统计专用数据库</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极大优化统计查询速度</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150000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OSS存储费用</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保存企业上传的磅单等电子图片的费用</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polarDB流量费</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生产数据库与灾备数据库传输保存的费用</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第三方接口费用</w:t>
            </w:r>
          </w:p>
        </w:tc>
        <w:tc>
          <w:tcPr>
            <w:tcW w:w="4850" w:type="dxa"/>
          </w:tcPr>
          <w:p>
            <w:pPr>
              <w:numPr>
                <w:ilvl w:val="0"/>
                <w:numId w:val="0"/>
              </w:numPr>
              <w:rPr>
                <w:rFonts w:hint="default"/>
                <w:sz w:val="24"/>
                <w:szCs w:val="32"/>
                <w:vertAlign w:val="baseline"/>
                <w:lang w:val="en-US" w:eastAsia="zh-CN"/>
              </w:rPr>
            </w:pPr>
            <w:r>
              <w:rPr>
                <w:rFonts w:hint="eastAsia"/>
                <w:sz w:val="24"/>
                <w:szCs w:val="32"/>
                <w:lang w:val="en-US" w:eastAsia="zh-CN"/>
              </w:rPr>
              <w:t>国家信息平台运政校验等接口的费用</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三联屏超长数据大屏</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开发榆林展厅三联屏数据大屏的费用</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异常检测系统升级</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对异常判断优化，减伤误检率，增加异常项</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统计功能升级</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对统计功能全面升级，增加更多统计维度</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异常申诉功能</w:t>
            </w:r>
          </w:p>
        </w:tc>
        <w:tc>
          <w:tcPr>
            <w:tcW w:w="4850"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企业可对存疑的异常进行申诉，税局审批</w:t>
            </w: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9"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总计</w:t>
            </w:r>
          </w:p>
        </w:tc>
        <w:tc>
          <w:tcPr>
            <w:tcW w:w="4850" w:type="dxa"/>
          </w:tcPr>
          <w:p>
            <w:pPr>
              <w:numPr>
                <w:ilvl w:val="0"/>
                <w:numId w:val="0"/>
              </w:numPr>
              <w:rPr>
                <w:rFonts w:hint="eastAsia"/>
                <w:sz w:val="24"/>
                <w:szCs w:val="32"/>
                <w:vertAlign w:val="baseline"/>
                <w:lang w:val="en-US" w:eastAsia="zh-CN"/>
              </w:rPr>
            </w:pPr>
          </w:p>
        </w:tc>
        <w:tc>
          <w:tcPr>
            <w:tcW w:w="1223" w:type="dxa"/>
          </w:tcPr>
          <w:p>
            <w:pPr>
              <w:numPr>
                <w:ilvl w:val="0"/>
                <w:numId w:val="0"/>
              </w:numPr>
              <w:rPr>
                <w:rFonts w:hint="default"/>
                <w:sz w:val="24"/>
                <w:szCs w:val="32"/>
                <w:vertAlign w:val="baseline"/>
                <w:lang w:val="en-US" w:eastAsia="zh-CN"/>
              </w:rPr>
            </w:pPr>
            <w:r>
              <w:rPr>
                <w:rFonts w:hint="eastAsia"/>
                <w:sz w:val="24"/>
                <w:szCs w:val="32"/>
                <w:vertAlign w:val="baseline"/>
                <w:lang w:val="en-US" w:eastAsia="zh-CN"/>
              </w:rPr>
              <w:t>445000</w:t>
            </w:r>
          </w:p>
        </w:tc>
      </w:tr>
    </w:tbl>
    <w:p>
      <w:pPr>
        <w:numPr>
          <w:ilvl w:val="0"/>
          <w:numId w:val="0"/>
        </w:numPr>
        <w:rPr>
          <w:rFonts w:hint="default"/>
          <w:sz w:val="24"/>
          <w:szCs w:val="32"/>
          <w:lang w:val="en-US" w:eastAsia="zh-CN"/>
        </w:rPr>
      </w:pPr>
    </w:p>
    <w:p>
      <w:pPr>
        <w:numPr>
          <w:ilvl w:val="0"/>
          <w:numId w:val="0"/>
        </w:numPr>
        <w:jc w:val="right"/>
        <w:rPr>
          <w:rFonts w:hint="default"/>
          <w:sz w:val="24"/>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1EEA14"/>
    <w:multiLevelType w:val="singleLevel"/>
    <w:tmpl w:val="D41EEA1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D9A"/>
    <w:rsid w:val="000B6D9A"/>
    <w:rsid w:val="05885D7B"/>
    <w:rsid w:val="05A827C4"/>
    <w:rsid w:val="082779D0"/>
    <w:rsid w:val="0F256C33"/>
    <w:rsid w:val="1146319E"/>
    <w:rsid w:val="206F5F60"/>
    <w:rsid w:val="22B63F1E"/>
    <w:rsid w:val="275B723E"/>
    <w:rsid w:val="27F868B5"/>
    <w:rsid w:val="301D1535"/>
    <w:rsid w:val="33572FB0"/>
    <w:rsid w:val="366C07EB"/>
    <w:rsid w:val="40515A11"/>
    <w:rsid w:val="4E96136F"/>
    <w:rsid w:val="4E9B1B4B"/>
    <w:rsid w:val="4FFF43E5"/>
    <w:rsid w:val="522A0458"/>
    <w:rsid w:val="53C427B8"/>
    <w:rsid w:val="563540A4"/>
    <w:rsid w:val="56BC2147"/>
    <w:rsid w:val="5AC643F3"/>
    <w:rsid w:val="5E341674"/>
    <w:rsid w:val="60E91F85"/>
    <w:rsid w:val="633866E2"/>
    <w:rsid w:val="661C75BD"/>
    <w:rsid w:val="676922FB"/>
    <w:rsid w:val="6A4A2F9D"/>
    <w:rsid w:val="6C7E4BBF"/>
    <w:rsid w:val="7390727B"/>
    <w:rsid w:val="74335F8F"/>
    <w:rsid w:val="748D1686"/>
    <w:rsid w:val="74CE741E"/>
    <w:rsid w:val="7B190D3F"/>
    <w:rsid w:val="7B7A1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2021-11-19T09:41:00Z</dcterms:created>
  <dc:creator>零。</dc:creator>
  <cp:lastModifiedBy>零。</cp:lastModifiedBy>
  <dcterms:modified xsi:type="dcterms:W3CDTF">2021-11-24T10:54:15Z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51E9916FF0F44E6BB644FB26CB105A52</vt:lpwstr>
  </property>
</Properties>
</file>