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jc w:val="center"/>
        <w:textAlignment w:val="auto"/>
        <w:rPr>
          <w:rFonts w:hint="default" w:ascii="黑体" w:hAnsi="黑体" w:eastAsia="黑体" w:cs="黑体"/>
          <w:b/>
          <w:bCs w:val="0"/>
          <w:color w:val="FF0000"/>
          <w:sz w:val="56"/>
          <w:szCs w:val="56"/>
          <w:lang w:val="en-US" w:eastAsia="zh-CN"/>
        </w:rPr>
      </w:pPr>
      <w:r>
        <w:rPr>
          <w:rFonts w:hint="eastAsia" w:ascii="黑体" w:hAnsi="黑体" w:eastAsia="黑体" w:cs="黑体"/>
          <w:b/>
          <w:bCs w:val="0"/>
          <w:color w:val="FF0000"/>
          <w:sz w:val="56"/>
          <w:szCs w:val="56"/>
          <w:lang w:val="en-US" w:eastAsia="zh-CN"/>
        </w:rPr>
        <w:t>西安京卡物联科技有限公司</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auto"/>
        <w:jc w:val="center"/>
        <w:textAlignment w:val="auto"/>
        <w:rPr>
          <w:rFonts w:hint="eastAsia" w:ascii="仿宋" w:hAnsi="仿宋" w:eastAsia="仿宋" w:cs="仿宋"/>
          <w:sz w:val="24"/>
          <w:szCs w:val="24"/>
        </w:rPr>
      </w:pPr>
      <w:r>
        <w:rPr>
          <w:rFonts w:hint="eastAsia" w:ascii="仿宋" w:hAnsi="仿宋" w:eastAsia="仿宋" w:cs="仿宋"/>
          <w:sz w:val="24"/>
          <w:szCs w:val="24"/>
        </w:rPr>
        <mc:AlternateContent>
          <mc:Choice Requires="wps">
            <w:drawing>
              <wp:anchor distT="0" distB="0" distL="114300" distR="114300" simplePos="0" relativeHeight="251658240" behindDoc="0" locked="0" layoutInCell="1" allowOverlap="1">
                <wp:simplePos x="0" y="0"/>
                <wp:positionH relativeFrom="column">
                  <wp:posOffset>264795</wp:posOffset>
                </wp:positionH>
                <wp:positionV relativeFrom="paragraph">
                  <wp:posOffset>393700</wp:posOffset>
                </wp:positionV>
                <wp:extent cx="5091430" cy="0"/>
                <wp:effectExtent l="33655" t="24765" r="37465" b="89535"/>
                <wp:wrapNone/>
                <wp:docPr id="2" name="直接连接符 2"/>
                <wp:cNvGraphicFramePr/>
                <a:graphic xmlns:a="http://schemas.openxmlformats.org/drawingml/2006/main">
                  <a:graphicData uri="http://schemas.microsoft.com/office/word/2010/wordprocessingShape">
                    <wps:wsp>
                      <wps:cNvCnPr/>
                      <wps:spPr>
                        <a:xfrm>
                          <a:off x="1336675" y="2775585"/>
                          <a:ext cx="5091430" cy="0"/>
                        </a:xfrm>
                        <a:prstGeom prst="line">
                          <a:avLst/>
                        </a:prstGeom>
                        <a:noFill/>
                        <a:ln w="28575" cap="flat" cmpd="sng" algn="ctr">
                          <a:solidFill>
                            <a:srgbClr val="FF0000"/>
                          </a:solidFill>
                          <a:prstDash val="solid"/>
                        </a:ln>
                        <a:effectLst>
                          <a:outerShdw blurRad="40000" dist="23000" dir="5400000" rotWithShape="0">
                            <a:srgbClr val="000000">
                              <a:alpha val="35000"/>
                            </a:srgbClr>
                          </a:outerShdw>
                        </a:effectLst>
                      </wps:spPr>
                      <wps:bodyPr/>
                    </wps:wsp>
                  </a:graphicData>
                </a:graphic>
              </wp:anchor>
            </w:drawing>
          </mc:Choice>
          <mc:Fallback>
            <w:pict>
              <v:line id="_x0000_s1026" o:spid="_x0000_s1026" o:spt="20" style="position:absolute;left:0pt;margin-left:20.85pt;margin-top:31pt;height:0pt;width:400.9pt;z-index:251658240;mso-width-relative:page;mso-height-relative:page;" filled="f" stroked="t" coordsize="21600,21600" o:gfxdata="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2kW0NgAAAAIAQAADwAAAAAAAAABACAAAAAiAAAAZHJzL2Rvd25yZXYu&#10;eG1sUEsBAhQAFAAAAAgAh07iQEgzeY00AgAAUwQAAA4AAAAAAAAAAQAgAAAAJwEAAGRycy9lMm9E&#10;b2MueG1sUEsFBgAAAAAGAAYAWQEAAM0FAAAAAA==&#10;">
                <v:fill on="f" focussize="0,0"/>
                <v:stroke weight="2.25pt" color="#FF0000" joinstyle="round"/>
                <v:imagedata o:title=""/>
                <o:lock v:ext="edit" aspectratio="f"/>
                <v:shadow on="t" color="#000000" opacity="22937f" offset="0pt,1.81102362204724pt" origin="0f,32768f" matrix="65536f,0f,0f,65536f"/>
              </v:line>
            </w:pict>
          </mc:Fallback>
        </mc:AlternateContent>
      </w:r>
      <w:r>
        <w:rPr>
          <w:rFonts w:hint="eastAsia" w:ascii="仿宋" w:hAnsi="仿宋" w:eastAsia="仿宋" w:cs="仿宋"/>
          <w:sz w:val="24"/>
          <w:szCs w:val="24"/>
          <w:lang w:val="en-US" w:eastAsia="zh-CN"/>
        </w:rPr>
        <w:t>京卡物联</w:t>
      </w:r>
      <w:r>
        <w:rPr>
          <w:rFonts w:hint="eastAsia" w:ascii="仿宋" w:hAnsi="仿宋" w:eastAsia="仿宋" w:cs="仿宋"/>
          <w:b w:val="0"/>
          <w:bCs/>
          <w:color w:val="000007"/>
          <w:kern w:val="0"/>
          <w:sz w:val="24"/>
          <w:szCs w:val="24"/>
          <w:lang w:val="en-US" w:eastAsia="zh-CN" w:bidi="zh-CN"/>
        </w:rPr>
        <w:t>（2020）第（</w:t>
      </w:r>
      <w:r>
        <w:rPr>
          <w:rFonts w:hint="eastAsia" w:ascii="仿宋" w:hAnsi="仿宋" w:eastAsia="仿宋" w:cs="仿宋"/>
          <w:b w:val="0"/>
          <w:bCs/>
          <w:color w:val="FF0000"/>
          <w:kern w:val="0"/>
          <w:sz w:val="24"/>
          <w:szCs w:val="24"/>
          <w:lang w:val="en-US" w:eastAsia="zh-CN" w:bidi="zh-CN"/>
        </w:rPr>
        <w:t>001</w:t>
      </w:r>
      <w:r>
        <w:rPr>
          <w:rFonts w:hint="eastAsia" w:ascii="仿宋" w:hAnsi="仿宋" w:eastAsia="仿宋" w:cs="仿宋"/>
          <w:b w:val="0"/>
          <w:bCs/>
          <w:color w:val="000007"/>
          <w:kern w:val="0"/>
          <w:sz w:val="24"/>
          <w:szCs w:val="24"/>
          <w:lang w:val="en-US" w:eastAsia="zh-CN" w:bidi="zh-CN"/>
        </w:rPr>
        <w:t>）号</w:t>
      </w:r>
    </w:p>
    <w:p>
      <w:pPr>
        <w:keepNext w:val="0"/>
        <w:keepLines w:val="0"/>
        <w:pageBreakBefore w:val="0"/>
        <w:widowControl w:val="0"/>
        <w:kinsoku/>
        <w:wordWrap/>
        <w:overflowPunct/>
        <w:topLinePunct w:val="0"/>
        <w:autoSpaceDE w:val="0"/>
        <w:autoSpaceDN w:val="0"/>
        <w:bidi w:val="0"/>
        <w:adjustRightInd/>
        <w:snapToGrid/>
        <w:spacing w:before="0" w:after="157" w:afterLines="50" w:line="704" w:lineRule="exact"/>
        <w:ind w:right="113"/>
        <w:jc w:val="center"/>
        <w:textAlignment w:val="auto"/>
        <w:rPr>
          <w:rFonts w:hint="default" w:ascii="Microsoft JhengHei" w:hAnsi="宋体" w:eastAsia="Microsoft JhengHei" w:cs="宋体"/>
          <w:b/>
          <w:bCs w:val="0"/>
          <w:color w:val="000007"/>
          <w:kern w:val="0"/>
          <w:sz w:val="44"/>
          <w:szCs w:val="22"/>
          <w:lang w:val="en-US" w:bidi="zh-CN"/>
        </w:rPr>
      </w:pPr>
      <w:r>
        <w:rPr>
          <w:rFonts w:hint="eastAsia" w:ascii="Microsoft JhengHei" w:hAnsi="宋体" w:eastAsia="Microsoft JhengHei" w:cs="宋体"/>
          <w:b/>
          <w:bCs w:val="0"/>
          <w:color w:val="000007"/>
          <w:kern w:val="0"/>
          <w:sz w:val="44"/>
          <w:szCs w:val="22"/>
          <w:lang w:val="en-US" w:bidi="zh-CN"/>
        </w:rPr>
        <w:t>绩效管理制度</w:t>
      </w:r>
    </w:p>
    <w:p>
      <w:pPr>
        <w:numPr>
          <w:ilvl w:val="0"/>
          <w:numId w:val="0"/>
        </w:numPr>
        <w:jc w:val="center"/>
        <w:rPr>
          <w:rFonts w:hint="default" w:ascii="仿宋" w:hAnsi="仿宋" w:eastAsia="仿宋" w:cs="仿宋"/>
          <w:b/>
          <w:bCs/>
          <w:sz w:val="28"/>
          <w:szCs w:val="28"/>
          <w:lang w:val="en-US"/>
        </w:rPr>
      </w:pPr>
      <w:r>
        <w:rPr>
          <w:rFonts w:hint="eastAsia" w:ascii="黑体" w:hAnsi="黑体" w:eastAsia="黑体" w:cs="黑体"/>
          <w:b/>
          <w:bCs/>
          <w:sz w:val="30"/>
          <w:szCs w:val="30"/>
          <w:lang w:val="en-US" w:eastAsia="zh-CN"/>
        </w:rPr>
        <w:t>第一章   总  则</w:t>
      </w:r>
    </w:p>
    <w:p>
      <w:pPr>
        <w:numPr>
          <w:ilvl w:val="0"/>
          <w:numId w:val="1"/>
        </w:numPr>
        <w:spacing w:line="360" w:lineRule="auto"/>
        <w:ind w:left="420" w:leftChars="0"/>
        <w:rPr>
          <w:rFonts w:hint="default" w:ascii="仿宋" w:hAnsi="仿宋" w:eastAsia="仿宋" w:cs="仿宋"/>
          <w:b/>
          <w:bCs w:val="0"/>
          <w:sz w:val="28"/>
          <w:szCs w:val="28"/>
          <w:lang w:val="en-US" w:eastAsia="zh-CN"/>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val="en-US" w:eastAsia="zh-CN"/>
        </w:rPr>
        <w:t>目的</w:t>
      </w:r>
    </w:p>
    <w:p>
      <w:pPr>
        <w:numPr>
          <w:ilvl w:val="0"/>
          <w:numId w:val="0"/>
        </w:numPr>
        <w:spacing w:line="360" w:lineRule="auto"/>
        <w:ind w:firstLine="420" w:firstLineChars="0"/>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为进一步规范绩效管理，充分调动员工积极性，为公司的快速成长和高效运作提供保障，特制定本制度。</w:t>
      </w:r>
    </w:p>
    <w:p>
      <w:pPr>
        <w:numPr>
          <w:ilvl w:val="0"/>
          <w:numId w:val="1"/>
        </w:numPr>
        <w:spacing w:line="360" w:lineRule="auto"/>
        <w:ind w:left="420" w:leftChars="0" w:firstLine="0" w:firstLineChars="0"/>
        <w:rPr>
          <w:rFonts w:hint="eastAsia" w:ascii="仿宋" w:hAnsi="仿宋" w:eastAsia="仿宋" w:cs="仿宋"/>
          <w:b/>
          <w:bCs/>
          <w:sz w:val="28"/>
          <w:szCs w:val="28"/>
        </w:rPr>
      </w:pP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适用范围</w:t>
      </w:r>
    </w:p>
    <w:p>
      <w:pPr>
        <w:numPr>
          <w:ilvl w:val="0"/>
          <w:numId w:val="0"/>
        </w:numPr>
        <w:spacing w:line="360" w:lineRule="auto"/>
        <w:ind w:leftChars="0" w:firstLine="420" w:firstLineChars="0"/>
        <w:rPr>
          <w:rFonts w:hint="eastAsia" w:ascii="仿宋" w:hAnsi="仿宋" w:eastAsia="仿宋" w:cs="仿宋"/>
          <w:b w:val="0"/>
          <w:bCs w:val="0"/>
          <w:sz w:val="28"/>
          <w:szCs w:val="28"/>
        </w:rPr>
      </w:pPr>
      <w:r>
        <w:rPr>
          <w:rFonts w:hint="eastAsia" w:ascii="仿宋" w:hAnsi="仿宋" w:eastAsia="仿宋" w:cs="仿宋"/>
          <w:b w:val="0"/>
          <w:bCs w:val="0"/>
          <w:sz w:val="28"/>
          <w:szCs w:val="28"/>
        </w:rPr>
        <w:t>本制度适用于</w:t>
      </w:r>
      <w:r>
        <w:rPr>
          <w:rFonts w:hint="eastAsia" w:ascii="仿宋" w:hAnsi="仿宋" w:eastAsia="仿宋" w:cs="仿宋"/>
          <w:b w:val="0"/>
          <w:bCs w:val="0"/>
          <w:sz w:val="28"/>
          <w:szCs w:val="28"/>
          <w:lang w:val="en-US" w:eastAsia="zh-CN"/>
        </w:rPr>
        <w:t>西安京卡物联科技有限公司</w:t>
      </w:r>
      <w:r>
        <w:rPr>
          <w:rFonts w:hint="eastAsia" w:ascii="仿宋" w:hAnsi="仿宋" w:eastAsia="仿宋" w:cs="仿宋"/>
          <w:b w:val="0"/>
          <w:bCs w:val="0"/>
          <w:sz w:val="28"/>
          <w:szCs w:val="28"/>
        </w:rPr>
        <w:t>全体员工。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第三条</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val="en-US" w:eastAsia="zh-CN"/>
        </w:rPr>
        <w:t xml:space="preserve"> 绩效原则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1、坚持公平、公正、公开、客观的原则；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2、坚持全面、全过程管理原则，考核人对考评对象应进行事前指导、事中支持、事后检查与事后反馈。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第四条 职责与权限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1、行政部负责绩效指标的设计与调整，绩效考核过程的组织协调及发起，制度的解释及考核结果应用的处理。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2、各部门负责本部门涉及绩效薪酬管理制度要求提供的绩效数据的报送和审核。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3、总经理负责监督和指导绩效考核工作。</w:t>
      </w:r>
    </w:p>
    <w:p>
      <w:pPr>
        <w:numPr>
          <w:ilvl w:val="0"/>
          <w:numId w:val="0"/>
        </w:numPr>
        <w:jc w:val="center"/>
        <w:rPr>
          <w:rFonts w:hint="default" w:ascii="黑体" w:hAnsi="黑体" w:eastAsia="黑体" w:cs="黑体"/>
          <w:b/>
          <w:bCs/>
          <w:sz w:val="30"/>
          <w:szCs w:val="30"/>
          <w:lang w:val="en-US" w:eastAsia="zh-CN"/>
        </w:rPr>
      </w:pPr>
      <w:r>
        <w:rPr>
          <w:rFonts w:hint="eastAsia" w:ascii="黑体" w:hAnsi="黑体" w:eastAsia="黑体" w:cs="黑体"/>
          <w:b/>
          <w:bCs/>
          <w:sz w:val="30"/>
          <w:szCs w:val="30"/>
          <w:lang w:val="en-US" w:eastAsia="zh-CN"/>
        </w:rPr>
        <w:t>第二章   绩效考核实施细则</w:t>
      </w:r>
    </w:p>
    <w:p>
      <w:pPr>
        <w:numPr>
          <w:ilvl w:val="0"/>
          <w:numId w:val="2"/>
        </w:numPr>
        <w:ind w:left="420" w:leftChars="0"/>
        <w:jc w:val="both"/>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 xml:space="preserve"> 绩效考核指标</w:t>
      </w:r>
    </w:p>
    <w:p>
      <w:pPr>
        <w:numPr>
          <w:ilvl w:val="0"/>
          <w:numId w:val="3"/>
        </w:numPr>
        <w:spacing w:line="360" w:lineRule="auto"/>
        <w:ind w:left="420" w:leftChars="0"/>
        <w:rPr>
          <w:rFonts w:hint="eastAsia" w:ascii="仿宋" w:hAnsi="仿宋" w:eastAsia="仿宋" w:cs="仿宋"/>
          <w:b w:val="0"/>
          <w:bCs/>
          <w:sz w:val="28"/>
          <w:szCs w:val="28"/>
          <w:highlight w:val="none"/>
          <w:lang w:val="en-US" w:eastAsia="zh-CN"/>
        </w:rPr>
      </w:pPr>
      <w:r>
        <w:rPr>
          <w:rFonts w:hint="eastAsia" w:ascii="仿宋" w:hAnsi="仿宋" w:eastAsia="仿宋" w:cs="仿宋"/>
          <w:b w:val="0"/>
          <w:bCs/>
          <w:sz w:val="28"/>
          <w:szCs w:val="28"/>
          <w:highlight w:val="none"/>
          <w:lang w:val="en-US" w:eastAsia="zh-CN"/>
        </w:rPr>
        <w:t>工作计划</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bCs/>
          <w:sz w:val="28"/>
          <w:szCs w:val="28"/>
          <w:lang w:val="en-US" w:eastAsia="zh-CN"/>
        </w:rPr>
      </w:pPr>
      <w:r>
        <w:rPr>
          <w:rFonts w:hint="eastAsia" w:ascii="仿宋" w:hAnsi="仿宋" w:eastAsia="仿宋" w:cs="仿宋"/>
          <w:b w:val="0"/>
          <w:bCs/>
          <w:sz w:val="28"/>
          <w:szCs w:val="28"/>
          <w:highlight w:val="none"/>
          <w:lang w:val="en-US" w:eastAsia="zh-CN"/>
        </w:rPr>
        <w:t>核心指标：</w:t>
      </w:r>
      <w:r>
        <w:rPr>
          <w:rFonts w:hint="eastAsia" w:ascii="仿宋" w:hAnsi="仿宋" w:eastAsia="仿宋" w:cs="仿宋"/>
          <w:bCs/>
          <w:sz w:val="28"/>
          <w:szCs w:val="28"/>
        </w:rPr>
        <w:t>依据公司经营</w:t>
      </w:r>
      <w:r>
        <w:rPr>
          <w:rFonts w:hint="eastAsia" w:ascii="仿宋" w:hAnsi="仿宋" w:eastAsia="仿宋" w:cs="仿宋"/>
          <w:bCs/>
          <w:sz w:val="28"/>
          <w:szCs w:val="28"/>
          <w:lang w:val="en-US" w:eastAsia="zh-CN"/>
        </w:rPr>
        <w:t>目标</w:t>
      </w:r>
      <w:r>
        <w:rPr>
          <w:rFonts w:hint="eastAsia" w:ascii="仿宋" w:hAnsi="仿宋" w:eastAsia="仿宋" w:cs="仿宋"/>
          <w:bCs/>
          <w:sz w:val="28"/>
          <w:szCs w:val="28"/>
          <w:u w:val="none"/>
        </w:rPr>
        <w:t>分解</w:t>
      </w:r>
      <w:r>
        <w:rPr>
          <w:rFonts w:hint="eastAsia" w:ascii="仿宋" w:hAnsi="仿宋" w:eastAsia="仿宋" w:cs="仿宋"/>
          <w:bCs/>
          <w:sz w:val="28"/>
          <w:szCs w:val="28"/>
          <w:u w:val="none"/>
          <w:lang w:val="en-US" w:eastAsia="zh-CN"/>
        </w:rPr>
        <w:t>成</w:t>
      </w:r>
      <w:r>
        <w:rPr>
          <w:rFonts w:hint="eastAsia" w:ascii="仿宋" w:hAnsi="仿宋" w:eastAsia="仿宋" w:cs="仿宋"/>
          <w:bCs/>
          <w:sz w:val="28"/>
          <w:szCs w:val="28"/>
          <w:u w:val="none"/>
        </w:rPr>
        <w:t>的</w:t>
      </w:r>
      <w:r>
        <w:rPr>
          <w:rFonts w:hint="eastAsia" w:ascii="仿宋" w:hAnsi="仿宋" w:eastAsia="仿宋" w:cs="仿宋"/>
          <w:bCs/>
          <w:sz w:val="28"/>
          <w:szCs w:val="28"/>
          <w:lang w:val="en-US" w:eastAsia="zh-CN"/>
        </w:rPr>
        <w:t>月度计划目标，作为月度</w:t>
      </w:r>
      <w:r>
        <w:rPr>
          <w:rFonts w:hint="eastAsia" w:ascii="仿宋" w:hAnsi="仿宋" w:eastAsia="仿宋" w:cs="仿宋"/>
          <w:bCs/>
          <w:sz w:val="28"/>
          <w:szCs w:val="28"/>
        </w:rPr>
        <w:t>重点难点工作、必须达成事项</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分值为30分</w:t>
      </w:r>
      <w:r>
        <w:rPr>
          <w:rFonts w:hint="eastAsia" w:ascii="仿宋" w:hAnsi="仿宋" w:eastAsia="仿宋" w:cs="仿宋"/>
          <w:bCs/>
          <w:sz w:val="28"/>
          <w:szCs w:val="28"/>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bCs/>
          <w:sz w:val="28"/>
          <w:szCs w:val="28"/>
          <w:u w:val="none"/>
          <w:lang w:val="en-US" w:eastAsia="zh-CN"/>
        </w:rPr>
      </w:pPr>
      <w:r>
        <w:rPr>
          <w:rFonts w:hint="eastAsia" w:ascii="仿宋" w:hAnsi="仿宋" w:eastAsia="仿宋" w:cs="仿宋"/>
          <w:bCs/>
          <w:sz w:val="28"/>
          <w:szCs w:val="28"/>
          <w:lang w:val="en-US" w:eastAsia="zh-CN"/>
        </w:rPr>
        <w:t>常规/职责目标：</w:t>
      </w:r>
      <w:r>
        <w:rPr>
          <w:rFonts w:hint="eastAsia" w:ascii="仿宋" w:hAnsi="仿宋" w:eastAsia="仿宋" w:cs="仿宋"/>
          <w:bCs/>
          <w:sz w:val="28"/>
          <w:szCs w:val="28"/>
          <w:u w:val="none"/>
          <w:lang w:val="en-US" w:eastAsia="zh-CN"/>
        </w:rPr>
        <w:t>指岗位说明书中规定的岗位职责和常规工作以及月度安排的临时性工作，普通员工分值40分，部门负责人分值20分。</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560" w:firstLineChars="200"/>
        <w:textAlignment w:val="auto"/>
        <w:rPr>
          <w:rFonts w:hint="default" w:ascii="仿宋" w:hAnsi="仿宋" w:eastAsia="仿宋" w:cs="仿宋"/>
          <w:bCs/>
          <w:color w:val="auto"/>
          <w:sz w:val="28"/>
          <w:szCs w:val="28"/>
          <w:lang w:val="en-US" w:eastAsia="zh-CN"/>
        </w:rPr>
      </w:pPr>
      <w:r>
        <w:rPr>
          <w:rFonts w:hint="eastAsia" w:ascii="仿宋" w:hAnsi="仿宋" w:eastAsia="仿宋" w:cs="仿宋"/>
          <w:bCs/>
          <w:sz w:val="28"/>
          <w:szCs w:val="28"/>
          <w:lang w:val="en-US" w:eastAsia="zh-CN"/>
        </w:rPr>
        <w:t>防火墙指标：指出现下列情形之一的，当月绩效系数为0：严重违反国家法律法规、公司规章制度；给公司造成重大损失无法挽回的；造成企业名誉严重受损的；试用期不符合录用条件的。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2.部门互评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Cs/>
          <w:sz w:val="28"/>
          <w:szCs w:val="28"/>
          <w:lang w:val="en-US" w:eastAsia="zh-CN"/>
        </w:rPr>
      </w:pPr>
      <w:r>
        <w:rPr>
          <w:rFonts w:hint="eastAsia" w:ascii="仿宋" w:hAnsi="仿宋" w:eastAsia="仿宋" w:cs="仿宋"/>
          <w:bCs/>
          <w:color w:val="auto"/>
          <w:sz w:val="28"/>
          <w:szCs w:val="28"/>
          <w:u w:val="none"/>
          <w:lang w:val="en-US" w:eastAsia="zh-CN"/>
        </w:rPr>
        <w:t>作为部门负责人的考核指标之一，</w:t>
      </w:r>
      <w:r>
        <w:rPr>
          <w:rFonts w:hint="default" w:ascii="仿宋" w:hAnsi="仿宋" w:eastAsia="仿宋" w:cs="仿宋"/>
          <w:bCs/>
          <w:color w:val="auto"/>
          <w:sz w:val="28"/>
          <w:szCs w:val="28"/>
          <w:u w:val="none"/>
          <w:lang w:val="en-US" w:eastAsia="zh-CN"/>
        </w:rPr>
        <w:t>通过本月共同完成工作</w:t>
      </w:r>
      <w:r>
        <w:rPr>
          <w:rFonts w:hint="eastAsia" w:ascii="仿宋" w:hAnsi="仿宋" w:eastAsia="仿宋" w:cs="仿宋"/>
          <w:bCs/>
          <w:color w:val="auto"/>
          <w:sz w:val="28"/>
          <w:szCs w:val="28"/>
          <w:u w:val="none"/>
          <w:lang w:val="en-US" w:eastAsia="zh-CN"/>
        </w:rPr>
        <w:t>、</w:t>
      </w:r>
      <w:r>
        <w:rPr>
          <w:rFonts w:hint="default" w:ascii="仿宋" w:hAnsi="仿宋" w:eastAsia="仿宋" w:cs="仿宋"/>
          <w:bCs/>
          <w:sz w:val="28"/>
          <w:szCs w:val="28"/>
          <w:lang w:val="en-US" w:eastAsia="zh-CN"/>
        </w:rPr>
        <w:t>需支持工作</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支持态度和服务意识这三个维度考核</w:t>
      </w:r>
      <w:r>
        <w:rPr>
          <w:rFonts w:hint="eastAsia" w:ascii="仿宋" w:hAnsi="仿宋" w:eastAsia="仿宋" w:cs="仿宋"/>
          <w:bCs/>
          <w:sz w:val="28"/>
          <w:szCs w:val="28"/>
          <w:lang w:val="en-US" w:eastAsia="zh-CN"/>
        </w:rPr>
        <w:t>跨部门满意度，分值为20分。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3.销售业绩关联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仿宋" w:hAnsi="仿宋" w:eastAsia="仿宋" w:cs="仿宋"/>
          <w:bCs/>
          <w:sz w:val="28"/>
          <w:szCs w:val="28"/>
          <w:lang w:val="en-US" w:eastAsia="zh-CN"/>
        </w:rPr>
      </w:pPr>
      <w:r>
        <w:rPr>
          <w:rFonts w:hint="default" w:ascii="仿宋" w:hAnsi="仿宋" w:eastAsia="仿宋" w:cs="仿宋"/>
          <w:bCs/>
          <w:sz w:val="28"/>
          <w:szCs w:val="28"/>
          <w:lang w:val="en-US" w:eastAsia="zh-CN"/>
        </w:rPr>
        <w:t>作为部门负责人的考核</w:t>
      </w:r>
      <w:r>
        <w:rPr>
          <w:rFonts w:hint="eastAsia" w:ascii="仿宋" w:hAnsi="仿宋" w:eastAsia="仿宋" w:cs="仿宋"/>
          <w:bCs/>
          <w:sz w:val="28"/>
          <w:szCs w:val="28"/>
          <w:lang w:val="en-US" w:eastAsia="zh-CN"/>
        </w:rPr>
        <w:t>指标之一</w:t>
      </w:r>
      <w:r>
        <w:rPr>
          <w:rFonts w:hint="default" w:ascii="仿宋" w:hAnsi="仿宋" w:eastAsia="仿宋" w:cs="仿宋"/>
          <w:bCs/>
          <w:sz w:val="28"/>
          <w:szCs w:val="28"/>
          <w:lang w:val="en-US" w:eastAsia="zh-CN"/>
        </w:rPr>
        <w:t>，</w:t>
      </w:r>
      <w:r>
        <w:rPr>
          <w:rFonts w:hint="eastAsia" w:ascii="仿宋" w:hAnsi="仿宋" w:eastAsia="仿宋" w:cs="仿宋"/>
          <w:bCs/>
          <w:sz w:val="28"/>
          <w:szCs w:val="28"/>
          <w:lang w:val="en-US" w:eastAsia="zh-CN"/>
        </w:rPr>
        <w:t>其</w:t>
      </w:r>
      <w:r>
        <w:rPr>
          <w:rFonts w:hint="default" w:ascii="仿宋" w:hAnsi="仿宋" w:eastAsia="仿宋" w:cs="仿宋"/>
          <w:bCs/>
          <w:sz w:val="28"/>
          <w:szCs w:val="28"/>
          <w:lang w:val="en-US" w:eastAsia="zh-CN"/>
        </w:rPr>
        <w:t>考核内容与公司的整体销售目标</w:t>
      </w:r>
      <w:r>
        <w:rPr>
          <w:rFonts w:hint="eastAsia" w:ascii="仿宋" w:hAnsi="仿宋" w:eastAsia="仿宋" w:cs="仿宋"/>
          <w:bCs/>
          <w:sz w:val="28"/>
          <w:szCs w:val="28"/>
          <w:lang w:val="en-US" w:eastAsia="zh-CN"/>
        </w:rPr>
        <w:t>相</w:t>
      </w:r>
      <w:r>
        <w:rPr>
          <w:rFonts w:hint="default" w:ascii="仿宋" w:hAnsi="仿宋" w:eastAsia="仿宋" w:cs="仿宋"/>
          <w:bCs/>
          <w:sz w:val="28"/>
          <w:szCs w:val="28"/>
          <w:lang w:val="en-US" w:eastAsia="zh-CN"/>
        </w:rPr>
        <w:t>关联</w:t>
      </w:r>
      <w:r>
        <w:rPr>
          <w:rFonts w:hint="eastAsia" w:ascii="仿宋" w:hAnsi="仿宋" w:eastAsia="仿宋" w:cs="仿宋"/>
          <w:bCs/>
          <w:sz w:val="28"/>
          <w:szCs w:val="28"/>
          <w:lang w:val="en-US" w:eastAsia="zh-CN"/>
        </w:rPr>
        <w:t>，分值为10分。</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0" w:leftChars="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关键行为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Cs/>
          <w:sz w:val="28"/>
          <w:szCs w:val="28"/>
          <w:lang w:val="en-US" w:eastAsia="zh-CN"/>
        </w:rPr>
      </w:pPr>
      <w:r>
        <w:rPr>
          <w:rFonts w:hint="default" w:ascii="仿宋" w:hAnsi="仿宋" w:eastAsia="仿宋" w:cs="仿宋"/>
          <w:bCs/>
          <w:sz w:val="28"/>
          <w:szCs w:val="28"/>
          <w:lang w:val="en-US" w:eastAsia="zh-CN"/>
        </w:rPr>
        <w:t>部门负责人的关键行为是工作汇报，</w:t>
      </w:r>
      <w:r>
        <w:rPr>
          <w:rFonts w:hint="eastAsia" w:ascii="仿宋" w:hAnsi="仿宋" w:eastAsia="仿宋" w:cs="仿宋"/>
          <w:bCs/>
          <w:sz w:val="28"/>
          <w:szCs w:val="28"/>
          <w:lang w:val="en-US" w:eastAsia="zh-CN"/>
        </w:rPr>
        <w:t>分值为20分，</w:t>
      </w:r>
      <w:r>
        <w:rPr>
          <w:rFonts w:hint="default" w:ascii="仿宋" w:hAnsi="仿宋" w:eastAsia="仿宋" w:cs="仿宋"/>
          <w:bCs/>
          <w:sz w:val="28"/>
          <w:szCs w:val="28"/>
          <w:lang w:val="en-US" w:eastAsia="zh-CN"/>
        </w:rPr>
        <w:t>主要包括按要求提交工作汇报</w:t>
      </w:r>
      <w:r>
        <w:rPr>
          <w:rFonts w:hint="eastAsia" w:ascii="仿宋" w:hAnsi="仿宋" w:eastAsia="仿宋" w:cs="仿宋"/>
          <w:bCs/>
          <w:sz w:val="28"/>
          <w:szCs w:val="28"/>
          <w:lang w:val="en-US" w:eastAsia="zh-CN"/>
        </w:rPr>
        <w:t>和</w:t>
      </w:r>
      <w:r>
        <w:rPr>
          <w:rFonts w:hint="default" w:ascii="仿宋" w:hAnsi="仿宋" w:eastAsia="仿宋" w:cs="仿宋"/>
          <w:bCs/>
          <w:sz w:val="28"/>
          <w:szCs w:val="28"/>
          <w:lang w:val="en-US" w:eastAsia="zh-CN"/>
        </w:rPr>
        <w:t>回复下属</w:t>
      </w:r>
      <w:r>
        <w:rPr>
          <w:rFonts w:hint="eastAsia" w:ascii="仿宋" w:hAnsi="仿宋" w:eastAsia="仿宋" w:cs="仿宋"/>
          <w:bCs/>
          <w:sz w:val="28"/>
          <w:szCs w:val="28"/>
          <w:lang w:val="en-US" w:eastAsia="zh-CN"/>
        </w:rPr>
        <w:t>汇报。</w:t>
      </w:r>
      <w:r>
        <w:rPr>
          <w:rFonts w:hint="default" w:ascii="仿宋" w:hAnsi="仿宋" w:eastAsia="仿宋" w:cs="仿宋"/>
          <w:bCs/>
          <w:sz w:val="28"/>
          <w:szCs w:val="28"/>
          <w:lang w:val="en-US" w:eastAsia="zh-CN"/>
        </w:rPr>
        <w:t>员工的关键行为</w:t>
      </w:r>
      <w:r>
        <w:rPr>
          <w:rFonts w:hint="eastAsia" w:ascii="仿宋" w:hAnsi="仿宋" w:eastAsia="仿宋" w:cs="仿宋"/>
          <w:bCs/>
          <w:sz w:val="28"/>
          <w:szCs w:val="28"/>
          <w:lang w:val="en-US" w:eastAsia="zh-CN"/>
        </w:rPr>
        <w:t>分值为10分，分别是</w:t>
      </w:r>
      <w:r>
        <w:rPr>
          <w:rFonts w:hint="default" w:ascii="仿宋" w:hAnsi="仿宋" w:eastAsia="仿宋" w:cs="仿宋"/>
          <w:bCs/>
          <w:sz w:val="28"/>
          <w:szCs w:val="28"/>
          <w:lang w:val="en-US" w:eastAsia="zh-CN"/>
        </w:rPr>
        <w:t>敬业精神</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责任感</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时间观念</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执行力</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责任意识</w:t>
      </w:r>
      <w:r>
        <w:rPr>
          <w:rFonts w:hint="eastAsia" w:ascii="仿宋" w:hAnsi="仿宋" w:eastAsia="仿宋" w:cs="仿宋"/>
          <w:bCs/>
          <w:sz w:val="28"/>
          <w:szCs w:val="28"/>
          <w:lang w:val="en-US" w:eastAsia="zh-CN"/>
        </w:rPr>
        <w:t>和</w:t>
      </w:r>
      <w:r>
        <w:rPr>
          <w:rFonts w:hint="default" w:ascii="仿宋" w:hAnsi="仿宋" w:eastAsia="仿宋" w:cs="仿宋"/>
          <w:bCs/>
          <w:sz w:val="28"/>
          <w:szCs w:val="28"/>
          <w:lang w:val="en-US" w:eastAsia="zh-CN"/>
        </w:rPr>
        <w:t>工作汇报</w:t>
      </w:r>
      <w:r>
        <w:rPr>
          <w:rFonts w:hint="eastAsia" w:ascii="仿宋" w:hAnsi="仿宋" w:eastAsia="仿宋" w:cs="仿宋"/>
          <w:bCs/>
          <w:sz w:val="28"/>
          <w:szCs w:val="28"/>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0" w:leftChars="0" w:firstLine="0" w:firstLineChars="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附加项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附加项指</w:t>
      </w:r>
      <w:r>
        <w:rPr>
          <w:rFonts w:hint="default" w:ascii="仿宋" w:hAnsi="仿宋" w:eastAsia="仿宋" w:cs="仿宋"/>
          <w:bCs/>
          <w:sz w:val="28"/>
          <w:szCs w:val="28"/>
          <w:lang w:val="en-US" w:eastAsia="zh-CN"/>
        </w:rPr>
        <w:t>工作贡献</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合理化建议指标，</w:t>
      </w:r>
      <w:r>
        <w:rPr>
          <w:rFonts w:hint="eastAsia" w:ascii="仿宋" w:hAnsi="仿宋" w:eastAsia="仿宋" w:cs="仿宋"/>
          <w:bCs/>
          <w:sz w:val="28"/>
          <w:szCs w:val="28"/>
          <w:lang w:val="en-US" w:eastAsia="zh-CN"/>
        </w:rPr>
        <w:t>分值最高为50分。</w:t>
      </w:r>
      <w:r>
        <w:rPr>
          <w:rFonts w:hint="default" w:ascii="仿宋" w:hAnsi="仿宋" w:eastAsia="仿宋" w:cs="仿宋"/>
          <w:bCs/>
          <w:sz w:val="28"/>
          <w:szCs w:val="28"/>
          <w:lang w:val="en-US" w:eastAsia="zh-CN"/>
        </w:rPr>
        <w:t>内容包含学习分享</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创新的理念或建议</w:t>
      </w:r>
      <w:r>
        <w:rPr>
          <w:rFonts w:hint="eastAsia" w:ascii="仿宋" w:hAnsi="仿宋" w:eastAsia="仿宋" w:cs="仿宋"/>
          <w:bCs/>
          <w:sz w:val="28"/>
          <w:szCs w:val="28"/>
          <w:lang w:val="en-US" w:eastAsia="zh-CN"/>
        </w:rPr>
        <w:t>，</w:t>
      </w:r>
      <w:r>
        <w:rPr>
          <w:rFonts w:hint="default" w:ascii="仿宋" w:hAnsi="仿宋" w:eastAsia="仿宋" w:cs="仿宋"/>
          <w:bCs/>
          <w:sz w:val="28"/>
          <w:szCs w:val="28"/>
          <w:lang w:val="en-US" w:eastAsia="zh-CN"/>
        </w:rPr>
        <w:t>其他特别贡献</w:t>
      </w:r>
      <w:r>
        <w:rPr>
          <w:rFonts w:hint="eastAsia" w:ascii="仿宋" w:hAnsi="仿宋" w:eastAsia="仿宋" w:cs="仿宋"/>
          <w:bCs/>
          <w:sz w:val="28"/>
          <w:szCs w:val="28"/>
          <w:lang w:val="en-US" w:eastAsia="zh-CN"/>
        </w:rPr>
        <w:t>等</w:t>
      </w:r>
      <w:r>
        <w:rPr>
          <w:rFonts w:hint="default" w:ascii="仿宋" w:hAnsi="仿宋" w:eastAsia="仿宋" w:cs="仿宋"/>
          <w:bCs/>
          <w:sz w:val="28"/>
          <w:szCs w:val="28"/>
          <w:lang w:val="en-US" w:eastAsia="zh-CN"/>
        </w:rPr>
        <w:t>。</w:t>
      </w:r>
    </w:p>
    <w:p>
      <w:pPr>
        <w:numPr>
          <w:ilvl w:val="0"/>
          <w:numId w:val="2"/>
        </w:numPr>
        <w:ind w:left="420" w:leftChars="0" w:firstLine="0" w:firstLineChars="0"/>
        <w:jc w:val="both"/>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 xml:space="preserve"> 绩效考核实施</w:t>
      </w:r>
    </w:p>
    <w:p>
      <w:pPr>
        <w:keepNext w:val="0"/>
        <w:keepLines w:val="0"/>
        <w:pageBreakBefore w:val="0"/>
        <w:widowControl w:val="0"/>
        <w:numPr>
          <w:ilvl w:val="0"/>
          <w:numId w:val="0"/>
        </w:numPr>
        <w:kinsoku/>
        <w:wordWrap/>
        <w:overflowPunct/>
        <w:topLinePunct w:val="0"/>
        <w:autoSpaceDE/>
        <w:autoSpaceDN/>
        <w:bidi w:val="0"/>
        <w:adjustRightInd/>
        <w:snapToGrid/>
        <w:ind w:left="420" w:left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1、考核周期</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绩效考核按自然月为周期进行考核，考核时间为每月1号-30号。</w:t>
      </w:r>
    </w:p>
    <w:p>
      <w:pPr>
        <w:keepNext w:val="0"/>
        <w:keepLines w:val="0"/>
        <w:pageBreakBefore w:val="0"/>
        <w:widowControl w:val="0"/>
        <w:numPr>
          <w:ilvl w:val="0"/>
          <w:numId w:val="0"/>
        </w:numPr>
        <w:kinsoku/>
        <w:wordWrap/>
        <w:overflowPunct/>
        <w:topLinePunct w:val="0"/>
        <w:autoSpaceDE/>
        <w:autoSpaceDN/>
        <w:bidi w:val="0"/>
        <w:adjustRightInd/>
        <w:snapToGrid/>
        <w:ind w:left="420" w:left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2、实施流程</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u w:val="none"/>
          <w:lang w:val="en-US" w:eastAsia="zh-CN"/>
        </w:rPr>
      </w:pPr>
      <w:r>
        <w:rPr>
          <w:rFonts w:hint="eastAsia" w:ascii="仿宋" w:hAnsi="仿宋" w:eastAsia="仿宋" w:cs="仿宋"/>
          <w:b w:val="0"/>
          <w:bCs/>
          <w:sz w:val="28"/>
          <w:szCs w:val="28"/>
          <w:lang w:val="en-US" w:eastAsia="zh-CN"/>
        </w:rPr>
        <w:t>（1）每月30号之前，各部门员工当月的绩效考核表</w:t>
      </w:r>
      <w:r>
        <w:rPr>
          <w:rFonts w:hint="eastAsia" w:ascii="仿宋" w:hAnsi="仿宋" w:eastAsia="仿宋" w:cs="仿宋"/>
          <w:b w:val="0"/>
          <w:bCs/>
          <w:sz w:val="28"/>
          <w:szCs w:val="28"/>
          <w:u w:val="none"/>
          <w:lang w:val="en-US" w:eastAsia="zh-CN"/>
        </w:rPr>
        <w:t>由各部门负责人打分并确定等级。</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（2）次月1号之前，各部门负责人的上月绩效考核表由总经理打分并确定等级。</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（3）每月3号之前，由行政部组织收集、汇总各部门负责人及员工的月度绩效考核表。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备注：每月最后一日18：00前，各部门须将绩效打分结果报送行政部，逾期未上报的，未上报人员的绩效考核系数全部默认为0.5。</w:t>
      </w:r>
    </w:p>
    <w:p>
      <w:pPr>
        <w:keepNext w:val="0"/>
        <w:keepLines w:val="0"/>
        <w:pageBreakBefore w:val="0"/>
        <w:widowControl w:val="0"/>
        <w:numPr>
          <w:ilvl w:val="0"/>
          <w:numId w:val="2"/>
        </w:numPr>
        <w:kinsoku/>
        <w:wordWrap/>
        <w:overflowPunct/>
        <w:topLinePunct w:val="0"/>
        <w:autoSpaceDE/>
        <w:autoSpaceDN/>
        <w:bidi w:val="0"/>
        <w:adjustRightInd/>
        <w:snapToGrid/>
        <w:ind w:left="420" w:leftChars="0" w:firstLine="0" w:firstLineChars="0"/>
        <w:jc w:val="both"/>
        <w:textAlignment w:val="auto"/>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 xml:space="preserve"> 绩效面谈</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每月绩效考核结束后，由行政部或部门负责人与员工就考核结果进行面谈，面谈内容如下</w:t>
      </w:r>
      <w:r>
        <w:rPr>
          <w:rFonts w:hint="eastAsia" w:ascii="仿宋" w:hAnsi="仿宋" w:eastAsia="仿宋" w:cs="仿宋"/>
          <w:b w:val="0"/>
          <w:bCs/>
          <w:color w:val="auto"/>
          <w:sz w:val="28"/>
          <w:szCs w:val="28"/>
          <w:lang w:val="en-US" w:eastAsia="zh-CN"/>
        </w:rPr>
        <w:t>：</w:t>
      </w:r>
      <w:r>
        <w:rPr>
          <w:rFonts w:hint="eastAsia" w:ascii="仿宋" w:hAnsi="仿宋" w:eastAsia="仿宋" w:cs="仿宋"/>
          <w:b w:val="0"/>
          <w:bCs/>
          <w:sz w:val="28"/>
          <w:szCs w:val="28"/>
          <w:lang w:val="en-US" w:eastAsia="zh-CN"/>
        </w:rPr>
        <w:t>肯定员工业绩，指出工作中存在的不足，为员工的职业能力和工作业绩的不断提高指明方向；分析员工产生不足的原因，与其沟通形成双方认可的绩效改善点，并制定绩效改进计划，作为下个周期绩效改进的重点目标。</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ascii="仿宋" w:hAnsi="仿宋" w:eastAsia="仿宋" w:cs="仿宋"/>
          <w:b w:val="0"/>
          <w:bCs/>
          <w:sz w:val="28"/>
          <w:szCs w:val="28"/>
          <w:lang w:val="en-US" w:eastAsia="zh-CN"/>
        </w:rPr>
      </w:pPr>
    </w:p>
    <w:p>
      <w:pPr>
        <w:numPr>
          <w:ilvl w:val="0"/>
          <w:numId w:val="2"/>
        </w:numPr>
        <w:ind w:left="420" w:leftChars="0" w:firstLine="0" w:firstLineChars="0"/>
        <w:jc w:val="both"/>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 xml:space="preserve"> 绩效等级</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根据绩效考核得分，将绩效结果分为五个等级，如下表所示：</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考核等级</w:t>
            </w:r>
          </w:p>
        </w:tc>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A</w:t>
            </w:r>
          </w:p>
        </w:tc>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B</w:t>
            </w:r>
          </w:p>
        </w:tc>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C</w:t>
            </w:r>
          </w:p>
        </w:tc>
        <w:tc>
          <w:tcPr>
            <w:tcW w:w="1421"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D</w:t>
            </w:r>
          </w:p>
        </w:tc>
        <w:tc>
          <w:tcPr>
            <w:tcW w:w="1421"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建议分布</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35%</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40%</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考核得分</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125-150</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101-124</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90-100</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70-89</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考核评价</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优秀</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良好</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合格</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有差距</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numPr>
                <w:ilvl w:val="0"/>
                <w:numId w:val="0"/>
              </w:numPr>
              <w:spacing w:line="360" w:lineRule="auto"/>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考核系数</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1.5</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1.2</w:t>
            </w:r>
          </w:p>
        </w:tc>
        <w:tc>
          <w:tcPr>
            <w:tcW w:w="1420"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0.5-0.9</w:t>
            </w:r>
          </w:p>
        </w:tc>
        <w:tc>
          <w:tcPr>
            <w:tcW w:w="1421" w:type="dxa"/>
          </w:tcPr>
          <w:p>
            <w:pPr>
              <w:numPr>
                <w:ilvl w:val="0"/>
                <w:numId w:val="0"/>
              </w:numPr>
              <w:spacing w:line="360" w:lineRule="auto"/>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b w:val="0"/>
          <w:bCs/>
          <w:sz w:val="28"/>
          <w:szCs w:val="2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ind w:left="420" w:leftChars="0" w:firstLine="0" w:firstLineChars="0"/>
        <w:jc w:val="both"/>
        <w:textAlignment w:val="auto"/>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绩效的应用</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1、核算绩效工资</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w:t>
      </w:r>
      <w:r>
        <w:rPr>
          <w:rFonts w:hint="default" w:ascii="仿宋" w:hAnsi="仿宋" w:eastAsia="仿宋" w:cs="仿宋"/>
          <w:b w:val="0"/>
          <w:bCs/>
          <w:sz w:val="28"/>
          <w:szCs w:val="28"/>
          <w:lang w:val="en-US" w:eastAsia="zh-CN"/>
        </w:rPr>
        <w:t>部门负责人绩效工资=月度绩效工资*</w:t>
      </w:r>
      <w:r>
        <w:rPr>
          <w:rFonts w:hint="eastAsia" w:ascii="仿宋" w:hAnsi="仿宋" w:eastAsia="仿宋" w:cs="仿宋"/>
          <w:b w:val="0"/>
          <w:bCs/>
          <w:sz w:val="28"/>
          <w:szCs w:val="28"/>
          <w:lang w:val="en-US" w:eastAsia="zh-CN"/>
        </w:rPr>
        <w:t>（</w:t>
      </w:r>
      <w:r>
        <w:rPr>
          <w:rFonts w:hint="default" w:ascii="仿宋" w:hAnsi="仿宋" w:eastAsia="仿宋" w:cs="仿宋"/>
          <w:b w:val="0"/>
          <w:bCs/>
          <w:sz w:val="28"/>
          <w:szCs w:val="28"/>
          <w:lang w:val="en-US" w:eastAsia="zh-CN"/>
        </w:rPr>
        <w:t>80%*</w:t>
      </w:r>
      <w:r>
        <w:rPr>
          <w:rFonts w:hint="eastAsia" w:ascii="仿宋" w:hAnsi="仿宋" w:eastAsia="仿宋" w:cs="仿宋"/>
          <w:b w:val="0"/>
          <w:bCs/>
          <w:sz w:val="28"/>
          <w:szCs w:val="28"/>
          <w:lang w:val="en-US" w:eastAsia="zh-CN"/>
        </w:rPr>
        <w:t>个人</w:t>
      </w:r>
      <w:r>
        <w:rPr>
          <w:rFonts w:hint="default" w:ascii="仿宋" w:hAnsi="仿宋" w:eastAsia="仿宋" w:cs="仿宋"/>
          <w:b w:val="0"/>
          <w:bCs/>
          <w:sz w:val="28"/>
          <w:szCs w:val="28"/>
          <w:lang w:val="en-US" w:eastAsia="zh-CN"/>
        </w:rPr>
        <w:t>绩效系数+20%*部门</w:t>
      </w:r>
      <w:r>
        <w:rPr>
          <w:rFonts w:hint="eastAsia" w:ascii="仿宋" w:hAnsi="仿宋" w:eastAsia="仿宋" w:cs="仿宋"/>
          <w:b w:val="0"/>
          <w:bCs/>
          <w:sz w:val="28"/>
          <w:szCs w:val="28"/>
          <w:lang w:val="en-US" w:eastAsia="zh-CN"/>
        </w:rPr>
        <w:t>员工</w:t>
      </w:r>
      <w:r>
        <w:rPr>
          <w:rFonts w:hint="default" w:ascii="仿宋" w:hAnsi="仿宋" w:eastAsia="仿宋" w:cs="仿宋"/>
          <w:b w:val="0"/>
          <w:bCs/>
          <w:sz w:val="28"/>
          <w:szCs w:val="28"/>
          <w:lang w:val="en-US" w:eastAsia="zh-CN"/>
        </w:rPr>
        <w:t>平均</w:t>
      </w:r>
      <w:r>
        <w:rPr>
          <w:rFonts w:hint="eastAsia" w:ascii="仿宋" w:hAnsi="仿宋" w:eastAsia="仿宋" w:cs="仿宋"/>
          <w:b w:val="0"/>
          <w:bCs/>
          <w:sz w:val="28"/>
          <w:szCs w:val="28"/>
          <w:lang w:val="en-US" w:eastAsia="zh-CN"/>
        </w:rPr>
        <w:t>绩效</w:t>
      </w:r>
      <w:r>
        <w:rPr>
          <w:rFonts w:hint="default" w:ascii="仿宋" w:hAnsi="仿宋" w:eastAsia="仿宋" w:cs="仿宋"/>
          <w:b w:val="0"/>
          <w:bCs/>
          <w:sz w:val="28"/>
          <w:szCs w:val="28"/>
          <w:lang w:val="en-US" w:eastAsia="zh-CN"/>
        </w:rPr>
        <w:t>系数</w:t>
      </w:r>
      <w:r>
        <w:rPr>
          <w:rFonts w:hint="eastAsia" w:ascii="仿宋" w:hAnsi="仿宋" w:eastAsia="仿宋" w:cs="仿宋"/>
          <w:b w:val="0"/>
          <w:bCs/>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w:t>
      </w:r>
      <w:r>
        <w:rPr>
          <w:rFonts w:hint="default" w:ascii="仿宋" w:hAnsi="仿宋" w:eastAsia="仿宋" w:cs="仿宋"/>
          <w:b w:val="0"/>
          <w:bCs/>
          <w:sz w:val="28"/>
          <w:szCs w:val="28"/>
          <w:lang w:val="en-US" w:eastAsia="zh-CN"/>
        </w:rPr>
        <w:t>部门员工绩效工资=月度绩效工资*绩效系数</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2、培训和人事调整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（1）作为薪酬等级调整、晋升确认、转正资格确认的依据之一：</w:t>
      </w:r>
    </w:p>
    <w:tbl>
      <w:tblPr>
        <w:tblStyle w:val="6"/>
        <w:tblW w:w="50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2130"/>
        <w:gridCol w:w="1711"/>
        <w:gridCol w:w="1339"/>
        <w:gridCol w:w="1339"/>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eastAsia="zh-CN"/>
              </w:rPr>
            </w:pPr>
            <w:r>
              <w:rPr>
                <w:rFonts w:hint="eastAsia" w:ascii="仿宋" w:hAnsi="仿宋" w:eastAsia="仿宋" w:cs="仿宋"/>
                <w:sz w:val="24"/>
                <w:szCs w:val="24"/>
                <w:lang w:val="en-US" w:eastAsia="zh-CN"/>
              </w:rPr>
              <w:t>等级</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条 件</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调薪应用</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调岗应用</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转正应用</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评优应用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A</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连续2个月评A，或年度累计4个月评A</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可参与年度调薪，上调一级</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可参与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晋升</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正常转正</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可参与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B</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rPr>
              <w:t>连续3个月评B，或年度累计5个月评B</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可参与年度调薪，上调一级</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可参与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晋升</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正常转正</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可参与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C</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正常转正</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可参与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D</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rPr>
              <w:t>连续2个月评D</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或半年度累计3个月评D</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下调一级</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降级一级</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不符合录用标准</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无资格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41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E</w:t>
            </w:r>
          </w:p>
        </w:tc>
        <w:tc>
          <w:tcPr>
            <w:tcW w:w="124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触碰防火墙</w:t>
            </w:r>
          </w:p>
        </w:tc>
        <w:tc>
          <w:tcPr>
            <w:tcW w:w="99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不符合录用标准</w:t>
            </w:r>
          </w:p>
        </w:tc>
        <w:tc>
          <w:tcPr>
            <w:tcW w:w="78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24"/>
                <w:szCs w:val="24"/>
                <w:vertAlign w:val="baseline"/>
              </w:rPr>
            </w:pPr>
            <w:r>
              <w:rPr>
                <w:rFonts w:hint="eastAsia" w:ascii="仿宋" w:hAnsi="仿宋" w:eastAsia="仿宋" w:cs="仿宋"/>
                <w:sz w:val="24"/>
                <w:szCs w:val="24"/>
                <w:vertAlign w:val="baseline"/>
                <w:lang w:val="en-US" w:eastAsia="zh-CN"/>
              </w:rPr>
              <w:t>无资格</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（2）作为培训资格确认、岗位调动、改进工作方式方法，以及其他资格确认等的依据之一。</w:t>
      </w:r>
    </w:p>
    <w:p>
      <w:pPr>
        <w:keepNext w:val="0"/>
        <w:keepLines w:val="0"/>
        <w:pageBreakBefore w:val="0"/>
        <w:widowControl w:val="0"/>
        <w:numPr>
          <w:ilvl w:val="0"/>
          <w:numId w:val="6"/>
        </w:numPr>
        <w:kinsoku/>
        <w:wordWrap/>
        <w:overflowPunct/>
        <w:topLinePunct w:val="0"/>
        <w:autoSpaceDE/>
        <w:autoSpaceDN/>
        <w:bidi w:val="0"/>
        <w:adjustRightInd/>
        <w:snapToGrid/>
        <w:jc w:val="center"/>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 xml:space="preserve">  附 则</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ascii="仿宋" w:hAnsi="仿宋" w:eastAsia="仿宋" w:cs="仿宋"/>
          <w:b w:val="0"/>
          <w:bCs/>
          <w:sz w:val="28"/>
          <w:szCs w:val="28"/>
          <w:lang w:val="en-US" w:eastAsia="zh-CN"/>
        </w:rPr>
      </w:pPr>
      <w:r>
        <w:rPr>
          <w:rFonts w:hint="eastAsia" w:ascii="仿宋" w:hAnsi="仿宋" w:eastAsia="仿宋" w:cs="仿宋"/>
          <w:b/>
          <w:bCs w:val="0"/>
          <w:sz w:val="28"/>
          <w:szCs w:val="28"/>
          <w:lang w:val="en-US" w:eastAsia="zh-CN"/>
        </w:rPr>
        <w:t xml:space="preserve">第十条 </w:t>
      </w:r>
      <w:r>
        <w:rPr>
          <w:rFonts w:hint="default" w:ascii="仿宋" w:hAnsi="仿宋" w:eastAsia="仿宋" w:cs="仿宋"/>
          <w:b w:val="0"/>
          <w:bCs/>
          <w:sz w:val="28"/>
          <w:szCs w:val="28"/>
          <w:lang w:val="en-US" w:eastAsia="zh-CN"/>
        </w:rPr>
        <w:t>本制度由行政部组织起草、修订，</w:t>
      </w:r>
      <w:r>
        <w:rPr>
          <w:rFonts w:hint="eastAsia" w:ascii="仿宋" w:hAnsi="仿宋" w:eastAsia="仿宋" w:cs="仿宋"/>
          <w:b w:val="0"/>
          <w:bCs/>
          <w:sz w:val="28"/>
          <w:szCs w:val="28"/>
          <w:lang w:val="en-US" w:eastAsia="zh-CN"/>
        </w:rPr>
        <w:t>经</w:t>
      </w:r>
      <w:r>
        <w:rPr>
          <w:rFonts w:hint="default" w:ascii="仿宋" w:hAnsi="仿宋" w:eastAsia="仿宋" w:cs="仿宋"/>
          <w:b w:val="0"/>
          <w:bCs/>
          <w:sz w:val="28"/>
          <w:szCs w:val="28"/>
          <w:lang w:val="en-US" w:eastAsia="zh-CN"/>
        </w:rPr>
        <w:t>总经理审核、签字批准后</w:t>
      </w:r>
      <w:r>
        <w:rPr>
          <w:rFonts w:hint="eastAsia" w:ascii="仿宋" w:hAnsi="仿宋" w:eastAsia="仿宋" w:cs="仿宋"/>
          <w:b w:val="0"/>
          <w:bCs/>
          <w:sz w:val="28"/>
          <w:szCs w:val="28"/>
          <w:lang w:val="en-US" w:eastAsia="zh-CN"/>
        </w:rPr>
        <w:t>进行</w:t>
      </w:r>
      <w:r>
        <w:rPr>
          <w:rFonts w:hint="default" w:ascii="仿宋" w:hAnsi="仿宋" w:eastAsia="仿宋" w:cs="仿宋"/>
          <w:b w:val="0"/>
          <w:bCs/>
          <w:sz w:val="28"/>
          <w:szCs w:val="28"/>
          <w:lang w:val="en-US" w:eastAsia="zh-CN"/>
        </w:rPr>
        <w:t>公示</w:t>
      </w:r>
      <w:r>
        <w:rPr>
          <w:rFonts w:hint="eastAsia" w:ascii="仿宋" w:hAnsi="仿宋" w:eastAsia="仿宋" w:cs="仿宋"/>
          <w:b w:val="0"/>
          <w:bCs/>
          <w:sz w:val="28"/>
          <w:szCs w:val="28"/>
          <w:lang w:val="en-US" w:eastAsia="zh-CN"/>
        </w:rPr>
        <w:t>，解释权归行政部所有。</w:t>
      </w:r>
    </w:p>
    <w:p>
      <w:pPr>
        <w:keepNext w:val="0"/>
        <w:keepLines w:val="0"/>
        <w:pageBreakBefore w:val="0"/>
        <w:widowControl w:val="0"/>
        <w:numPr>
          <w:ilvl w:val="0"/>
          <w:numId w:val="0"/>
        </w:numPr>
        <w:kinsoku/>
        <w:wordWrap/>
        <w:overflowPunct/>
        <w:topLinePunct w:val="0"/>
        <w:autoSpaceDE/>
        <w:autoSpaceDN/>
        <w:bidi w:val="0"/>
        <w:adjustRightInd/>
        <w:snapToGrid/>
        <w:ind w:left="420" w:leftChars="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bCs w:val="0"/>
          <w:sz w:val="28"/>
          <w:szCs w:val="28"/>
          <w:lang w:val="en-US" w:eastAsia="zh-CN"/>
        </w:rPr>
        <w:t>第十一条</w:t>
      </w: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本制度自</w:t>
      </w:r>
      <w:r>
        <w:rPr>
          <w:rFonts w:hint="eastAsia" w:ascii="仿宋" w:hAnsi="仿宋" w:eastAsia="仿宋" w:cs="仿宋"/>
          <w:b w:val="0"/>
          <w:bCs/>
          <w:sz w:val="28"/>
          <w:szCs w:val="28"/>
          <w:lang w:val="en-US" w:eastAsia="zh-CN"/>
        </w:rPr>
        <w:t>发布之日</w:t>
      </w:r>
      <w:r>
        <w:rPr>
          <w:rFonts w:hint="default" w:ascii="仿宋" w:hAnsi="仿宋" w:eastAsia="仿宋" w:cs="仿宋"/>
          <w:b w:val="0"/>
          <w:bCs/>
          <w:sz w:val="28"/>
          <w:szCs w:val="28"/>
          <w:lang w:val="en-US" w:eastAsia="zh-CN"/>
        </w:rPr>
        <w:t>起开始</w:t>
      </w:r>
      <w:r>
        <w:rPr>
          <w:rFonts w:hint="eastAsia" w:ascii="仿宋" w:hAnsi="仿宋" w:eastAsia="仿宋" w:cs="仿宋"/>
          <w:b w:val="0"/>
          <w:bCs/>
          <w:sz w:val="28"/>
          <w:szCs w:val="28"/>
          <w:lang w:val="en-US" w:eastAsia="zh-CN"/>
        </w:rPr>
        <w:t>生效。</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ascii="仿宋" w:hAnsi="仿宋" w:eastAsia="仿宋" w:cs="仿宋"/>
          <w:b w:val="0"/>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right"/>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西安京卡物联</w:t>
      </w:r>
      <w:r>
        <w:rPr>
          <w:rFonts w:hint="default" w:ascii="仿宋" w:hAnsi="仿宋" w:eastAsia="仿宋" w:cs="仿宋"/>
          <w:b w:val="0"/>
          <w:bCs/>
          <w:sz w:val="28"/>
          <w:szCs w:val="28"/>
          <w:lang w:val="en-US" w:eastAsia="zh-CN"/>
        </w:rPr>
        <w:t>科技有限公司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center"/>
        <w:textAlignment w:val="auto"/>
        <w:rPr>
          <w:rFonts w:hint="default"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                             </w:t>
      </w:r>
      <w:r>
        <w:rPr>
          <w:rFonts w:hint="default" w:ascii="仿宋" w:hAnsi="仿宋" w:eastAsia="仿宋" w:cs="仿宋"/>
          <w:b w:val="0"/>
          <w:bCs/>
          <w:sz w:val="28"/>
          <w:szCs w:val="28"/>
          <w:lang w:val="en-US" w:eastAsia="zh-CN"/>
        </w:rPr>
        <w:t>二〇二〇年</w:t>
      </w:r>
      <w:r>
        <w:rPr>
          <w:rFonts w:hint="eastAsia" w:ascii="仿宋" w:hAnsi="仿宋" w:eastAsia="仿宋" w:cs="仿宋"/>
          <w:b w:val="0"/>
          <w:bCs/>
          <w:sz w:val="28"/>
          <w:szCs w:val="28"/>
          <w:lang w:val="en-US" w:eastAsia="zh-CN"/>
        </w:rPr>
        <w:t>十一</w:t>
      </w:r>
      <w:r>
        <w:rPr>
          <w:rFonts w:hint="default" w:ascii="仿宋" w:hAnsi="仿宋" w:eastAsia="仿宋" w:cs="仿宋"/>
          <w:b w:val="0"/>
          <w:bCs/>
          <w:sz w:val="28"/>
          <w:szCs w:val="28"/>
          <w:lang w:val="en-US" w:eastAsia="zh-CN"/>
        </w:rPr>
        <w:t>月</w:t>
      </w:r>
      <w:r>
        <w:rPr>
          <w:rFonts w:hint="eastAsia" w:ascii="仿宋" w:hAnsi="仿宋" w:eastAsia="仿宋" w:cs="仿宋"/>
          <w:b w:val="0"/>
          <w:bCs/>
          <w:sz w:val="28"/>
          <w:szCs w:val="28"/>
          <w:lang w:val="en-US" w:eastAsia="zh-CN"/>
        </w:rPr>
        <w:t>十六</w:t>
      </w:r>
      <w:bookmarkStart w:id="0" w:name="_GoBack"/>
      <w:bookmarkEnd w:id="0"/>
      <w:r>
        <w:rPr>
          <w:rFonts w:hint="default" w:ascii="仿宋" w:hAnsi="仿宋" w:eastAsia="仿宋" w:cs="仿宋"/>
          <w:b w:val="0"/>
          <w:bCs/>
          <w:sz w:val="28"/>
          <w:szCs w:val="28"/>
          <w:lang w:val="en-US" w:eastAsia="zh-CN"/>
        </w:rPr>
        <w:t>号</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rPr>
          <w:rFonts w:hint="default" w:ascii="仿宋" w:hAnsi="仿宋" w:eastAsia="仿宋" w:cs="仿宋"/>
          <w:sz w:val="28"/>
          <w:szCs w:val="28"/>
          <w:lang w:val="en-US" w:eastAsia="zh-CN"/>
        </w:rPr>
      </w:pPr>
    </w:p>
    <w:p>
      <w:pPr>
        <w:rPr>
          <w:rFonts w:hint="default" w:ascii="仿宋" w:hAnsi="仿宋" w:eastAsia="仿宋" w:cs="仿宋"/>
          <w:sz w:val="28"/>
          <w:szCs w:val="28"/>
          <w:lang w:val="en-US" w:eastAsia="zh-CN"/>
        </w:rPr>
        <w:sectPr>
          <w:pgSz w:w="11906" w:h="16838"/>
          <w:pgMar w:top="1440" w:right="1800" w:bottom="1440" w:left="1800" w:header="851" w:footer="992" w:gutter="0"/>
          <w:cols w:space="425" w:num="1"/>
          <w:docGrid w:type="lines" w:linePitch="312" w:charSpace="0"/>
        </w:sectPr>
      </w:pPr>
    </w:p>
    <w:tbl>
      <w:tblPr>
        <w:tblStyle w:val="5"/>
        <w:tblW w:w="13988" w:type="dxa"/>
        <w:tblInd w:w="0" w:type="dxa"/>
        <w:shd w:val="clear" w:color="auto" w:fill="auto"/>
        <w:tblLayout w:type="fixed"/>
        <w:tblCellMar>
          <w:top w:w="0" w:type="dxa"/>
          <w:left w:w="0" w:type="dxa"/>
          <w:bottom w:w="0" w:type="dxa"/>
          <w:right w:w="0" w:type="dxa"/>
        </w:tblCellMar>
      </w:tblPr>
      <w:tblGrid>
        <w:gridCol w:w="1797"/>
        <w:gridCol w:w="929"/>
        <w:gridCol w:w="345"/>
        <w:gridCol w:w="3795"/>
        <w:gridCol w:w="1556"/>
        <w:gridCol w:w="140"/>
        <w:gridCol w:w="592"/>
        <w:gridCol w:w="1199"/>
        <w:gridCol w:w="466"/>
        <w:gridCol w:w="3169"/>
      </w:tblGrid>
      <w:tr>
        <w:tblPrEx>
          <w:shd w:val="clear" w:color="auto" w:fill="auto"/>
          <w:tblCellMar>
            <w:top w:w="0" w:type="dxa"/>
            <w:left w:w="0" w:type="dxa"/>
            <w:bottom w:w="0" w:type="dxa"/>
            <w:right w:w="0" w:type="dxa"/>
          </w:tblCellMar>
        </w:tblPrEx>
        <w:trPr>
          <w:trHeight w:val="440" w:hRule="atLeast"/>
        </w:trPr>
        <w:tc>
          <w:tcPr>
            <w:tcW w:w="13988" w:type="dxa"/>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60" w:lineRule="atLeast"/>
              <w:jc w:val="left"/>
              <w:textAlignment w:val="center"/>
              <w:rPr>
                <w:rFonts w:ascii="微软雅黑 Light" w:hAnsi="微软雅黑 Light" w:eastAsia="微软雅黑 Light" w:cs="微软雅黑 Light"/>
                <w:i w:val="0"/>
                <w:color w:val="000000"/>
                <w:sz w:val="20"/>
                <w:szCs w:val="20"/>
                <w:u w:val="none"/>
              </w:rPr>
            </w:pPr>
            <w:r>
              <w:rPr>
                <w:rFonts w:hint="eastAsia" w:ascii="微软雅黑 Light" w:hAnsi="微软雅黑 Light" w:eastAsia="微软雅黑 Light" w:cs="微软雅黑 Light"/>
                <w:i w:val="0"/>
                <w:color w:val="000000"/>
                <w:kern w:val="0"/>
                <w:sz w:val="20"/>
                <w:szCs w:val="20"/>
                <w:u w:val="none"/>
                <w:lang w:val="en-US" w:eastAsia="zh-CN" w:bidi="ar"/>
              </w:rPr>
              <w:t>陕西陆运帮网络科技有限公司</w:t>
            </w:r>
          </w:p>
        </w:tc>
      </w:tr>
      <w:tr>
        <w:tblPrEx>
          <w:shd w:val="clear" w:color="auto" w:fill="auto"/>
          <w:tblCellMar>
            <w:top w:w="0" w:type="dxa"/>
            <w:left w:w="0" w:type="dxa"/>
            <w:bottom w:w="0" w:type="dxa"/>
            <w:right w:w="0" w:type="dxa"/>
          </w:tblCellMar>
        </w:tblPrEx>
        <w:trPr>
          <w:trHeight w:val="414" w:hRule="atLeast"/>
        </w:trPr>
        <w:tc>
          <w:tcPr>
            <w:tcW w:w="13988" w:type="dxa"/>
            <w:gridSpan w:val="10"/>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微软雅黑 Light" w:hAnsi="微软雅黑 Light" w:eastAsia="微软雅黑 Light" w:cs="微软雅黑 Light"/>
                <w:b/>
                <w:i w:val="0"/>
                <w:color w:val="000000"/>
                <w:sz w:val="20"/>
                <w:szCs w:val="20"/>
                <w:u w:val="none"/>
              </w:rPr>
            </w:pPr>
            <w:r>
              <w:rPr>
                <w:rFonts w:hint="eastAsia" w:ascii="微软雅黑 Light" w:hAnsi="微软雅黑 Light" w:eastAsia="微软雅黑 Light" w:cs="微软雅黑 Light"/>
                <w:b/>
                <w:i w:val="0"/>
                <w:color w:val="000000"/>
                <w:kern w:val="0"/>
                <w:sz w:val="20"/>
                <w:szCs w:val="20"/>
                <w:u w:val="none"/>
                <w:lang w:val="en-US" w:eastAsia="zh-CN" w:bidi="ar"/>
              </w:rPr>
              <w:t xml:space="preserve">2020年8月 </w:t>
            </w:r>
            <w:r>
              <w:rPr>
                <w:rFonts w:hint="eastAsia" w:ascii="微软雅黑 Light" w:hAnsi="微软雅黑 Light" w:eastAsia="微软雅黑 Light" w:cs="微软雅黑 Light"/>
                <w:b/>
                <w:i w:val="0"/>
                <w:color w:val="000000"/>
                <w:kern w:val="0"/>
                <w:sz w:val="20"/>
                <w:szCs w:val="20"/>
                <w:u w:val="single"/>
                <w:lang w:val="en-US" w:eastAsia="zh-CN" w:bidi="ar"/>
              </w:rPr>
              <w:t xml:space="preserve">            </w:t>
            </w:r>
            <w:r>
              <w:rPr>
                <w:rFonts w:hint="eastAsia" w:ascii="微软雅黑 Light" w:hAnsi="微软雅黑 Light" w:eastAsia="微软雅黑 Light" w:cs="微软雅黑 Light"/>
                <w:b/>
                <w:i w:val="0"/>
                <w:color w:val="000000"/>
                <w:kern w:val="0"/>
                <w:sz w:val="20"/>
                <w:szCs w:val="20"/>
                <w:u w:val="none"/>
                <w:lang w:val="en-US" w:eastAsia="zh-CN" w:bidi="ar"/>
              </w:rPr>
              <w:t>绩效考核表（部门经理）</w:t>
            </w:r>
          </w:p>
        </w:tc>
      </w:tr>
      <w:tr>
        <w:tblPrEx>
          <w:shd w:val="clear" w:color="auto" w:fill="auto"/>
          <w:tblCellMar>
            <w:top w:w="0" w:type="dxa"/>
            <w:left w:w="0" w:type="dxa"/>
            <w:bottom w:w="0" w:type="dxa"/>
            <w:right w:w="0" w:type="dxa"/>
          </w:tblCellMar>
        </w:tblPrEx>
        <w:trPr>
          <w:trHeight w:val="345" w:hRule="atLeast"/>
        </w:trPr>
        <w:tc>
          <w:tcPr>
            <w:tcW w:w="3071" w:type="dxa"/>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20"/>
                <w:szCs w:val="20"/>
                <w:u w:val="none"/>
              </w:rPr>
            </w:pPr>
            <w:r>
              <w:rPr>
                <w:rFonts w:hint="eastAsia" w:ascii="微软雅黑 Light" w:hAnsi="微软雅黑 Light" w:eastAsia="微软雅黑 Light" w:cs="微软雅黑 Light"/>
                <w:i w:val="0"/>
                <w:color w:val="000000"/>
                <w:kern w:val="0"/>
                <w:sz w:val="20"/>
                <w:szCs w:val="20"/>
                <w:u w:val="none"/>
                <w:lang w:val="en-US" w:eastAsia="zh-CN" w:bidi="ar"/>
              </w:rPr>
              <w:t>姓名：</w:t>
            </w:r>
          </w:p>
        </w:tc>
        <w:tc>
          <w:tcPr>
            <w:tcW w:w="379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20"/>
                <w:szCs w:val="20"/>
                <w:u w:val="none"/>
              </w:rPr>
            </w:pPr>
            <w:r>
              <w:rPr>
                <w:rFonts w:hint="eastAsia" w:ascii="微软雅黑 Light" w:hAnsi="微软雅黑 Light" w:eastAsia="微软雅黑 Light" w:cs="微软雅黑 Light"/>
                <w:i w:val="0"/>
                <w:color w:val="000000"/>
                <w:kern w:val="0"/>
                <w:sz w:val="20"/>
                <w:szCs w:val="20"/>
                <w:u w:val="none"/>
                <w:lang w:val="en-US" w:eastAsia="zh-CN" w:bidi="ar"/>
              </w:rPr>
              <w:t>考核周期：</w:t>
            </w:r>
          </w:p>
        </w:tc>
        <w:tc>
          <w:tcPr>
            <w:tcW w:w="1696" w:type="dxa"/>
            <w:gridSpan w:val="2"/>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20"/>
                <w:szCs w:val="20"/>
                <w:u w:val="none"/>
              </w:rPr>
            </w:pPr>
          </w:p>
        </w:tc>
        <w:tc>
          <w:tcPr>
            <w:tcW w:w="592"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20"/>
                <w:szCs w:val="20"/>
                <w:u w:val="none"/>
              </w:rPr>
            </w:pPr>
          </w:p>
        </w:tc>
        <w:tc>
          <w:tcPr>
            <w:tcW w:w="1199" w:type="dxa"/>
            <w:tcBorders>
              <w:top w:val="nil"/>
              <w:left w:val="nil"/>
              <w:bottom w:val="nil"/>
              <w:right w:val="nil"/>
            </w:tcBorders>
            <w:shd w:val="clear" w:color="auto" w:fill="auto"/>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20"/>
                <w:szCs w:val="20"/>
                <w:u w:val="none"/>
              </w:rPr>
            </w:pPr>
          </w:p>
        </w:tc>
        <w:tc>
          <w:tcPr>
            <w:tcW w:w="466" w:type="dxa"/>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20"/>
                <w:szCs w:val="20"/>
                <w:u w:val="none"/>
              </w:rPr>
            </w:pPr>
          </w:p>
        </w:tc>
      </w:tr>
      <w:tr>
        <w:tblPrEx>
          <w:shd w:val="clear" w:color="auto" w:fill="auto"/>
          <w:tblCellMar>
            <w:top w:w="0" w:type="dxa"/>
            <w:left w:w="0" w:type="dxa"/>
            <w:bottom w:w="0" w:type="dxa"/>
            <w:right w:w="0" w:type="dxa"/>
          </w:tblCellMar>
        </w:tblPrEx>
        <w:trPr>
          <w:trHeight w:val="330" w:hRule="atLeast"/>
        </w:trPr>
        <w:tc>
          <w:tcPr>
            <w:tcW w:w="16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考核要素</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内容</w:t>
            </w:r>
          </w:p>
        </w:tc>
        <w:tc>
          <w:tcPr>
            <w:tcW w:w="3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计划目标</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评分标准</w:t>
            </w:r>
          </w:p>
        </w:tc>
        <w:tc>
          <w:tcPr>
            <w:tcW w:w="5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分值</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实际完成</w:t>
            </w: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得分</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评分来源</w:t>
            </w:r>
          </w:p>
        </w:tc>
      </w:tr>
      <w:tr>
        <w:tblPrEx>
          <w:shd w:val="clear" w:color="auto" w:fill="auto"/>
          <w:tblCellMar>
            <w:top w:w="0" w:type="dxa"/>
            <w:left w:w="0" w:type="dxa"/>
            <w:bottom w:w="0" w:type="dxa"/>
            <w:right w:w="0" w:type="dxa"/>
          </w:tblCellMar>
        </w:tblPrEx>
        <w:trPr>
          <w:trHeight w:val="2220" w:hRule="atLeast"/>
        </w:trPr>
        <w:tc>
          <w:tcPr>
            <w:tcW w:w="179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*月度工作计划</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（50分）</w:t>
            </w:r>
          </w:p>
        </w:tc>
        <w:tc>
          <w:tcPr>
            <w:tcW w:w="1274"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核心目标</w:t>
            </w:r>
          </w:p>
        </w:tc>
        <w:tc>
          <w:tcPr>
            <w:tcW w:w="3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A级指标（填写）：</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A：超出：目标提前达成且超过逾期</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B：胜任：目标达成且超过预期</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C：符合：目标达成</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D：有差距：基本达成</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E：不符合：未达成</w:t>
            </w: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30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135"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A：超出：权重*200%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B：胜任：权重*150%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C：符合：权重*100%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D：有差距：0-权重*60%</w:t>
            </w:r>
          </w:p>
        </w:tc>
      </w:tr>
      <w:tr>
        <w:tblPrEx>
          <w:shd w:val="clear" w:color="auto" w:fill="auto"/>
          <w:tblCellMar>
            <w:top w:w="0" w:type="dxa"/>
            <w:left w:w="0" w:type="dxa"/>
            <w:bottom w:w="0" w:type="dxa"/>
            <w:right w:w="0" w:type="dxa"/>
          </w:tblCellMar>
        </w:tblPrEx>
        <w:trPr>
          <w:trHeight w:val="720" w:hRule="atLeast"/>
        </w:trPr>
        <w:tc>
          <w:tcPr>
            <w:tcW w:w="17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常规/职责工作</w:t>
            </w:r>
          </w:p>
        </w:tc>
        <w:tc>
          <w:tcPr>
            <w:tcW w:w="3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20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≤30分</w:t>
            </w:r>
          </w:p>
        </w:tc>
      </w:tr>
      <w:tr>
        <w:tblPrEx>
          <w:shd w:val="clear" w:color="auto" w:fill="auto"/>
          <w:tblCellMar>
            <w:top w:w="0" w:type="dxa"/>
            <w:left w:w="0" w:type="dxa"/>
            <w:bottom w:w="0" w:type="dxa"/>
            <w:right w:w="0" w:type="dxa"/>
          </w:tblCellMar>
        </w:tblPrEx>
        <w:trPr>
          <w:trHeight w:val="560" w:hRule="atLeast"/>
        </w:trPr>
        <w:tc>
          <w:tcPr>
            <w:tcW w:w="17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274" w:type="dxa"/>
            <w:gridSpan w:val="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防火墙指标</w:t>
            </w:r>
          </w:p>
        </w:tc>
        <w:tc>
          <w:tcPr>
            <w:tcW w:w="3795"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B级/C级指标（见指标解释）</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w:t>
            </w: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岗位职责/红线</w:t>
            </w:r>
          </w:p>
        </w:tc>
      </w:tr>
      <w:tr>
        <w:tblPrEx>
          <w:shd w:val="clear" w:color="auto" w:fill="auto"/>
          <w:tblCellMar>
            <w:top w:w="0" w:type="dxa"/>
            <w:left w:w="0" w:type="dxa"/>
            <w:bottom w:w="0" w:type="dxa"/>
            <w:right w:w="0" w:type="dxa"/>
          </w:tblCellMar>
        </w:tblPrEx>
        <w:trPr>
          <w:trHeight w:val="570" w:hRule="atLeast"/>
        </w:trPr>
        <w:tc>
          <w:tcPr>
            <w:tcW w:w="17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部门互评</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（20分）</w:t>
            </w:r>
          </w:p>
        </w:tc>
        <w:tc>
          <w:tcPr>
            <w:tcW w:w="1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跨部门满意度</w:t>
            </w:r>
          </w:p>
        </w:tc>
        <w:tc>
          <w:tcPr>
            <w:tcW w:w="3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20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见附件《互评指标》，以B级指标为主（≤10分）</w:t>
            </w:r>
          </w:p>
        </w:tc>
      </w:tr>
      <w:tr>
        <w:tblPrEx>
          <w:shd w:val="clear" w:color="auto" w:fill="auto"/>
          <w:tblCellMar>
            <w:top w:w="0" w:type="dxa"/>
            <w:left w:w="0" w:type="dxa"/>
            <w:bottom w:w="0" w:type="dxa"/>
            <w:right w:w="0" w:type="dxa"/>
          </w:tblCellMar>
        </w:tblPrEx>
        <w:trPr>
          <w:trHeight w:val="1220" w:hRule="atLeast"/>
        </w:trPr>
        <w:tc>
          <w:tcPr>
            <w:tcW w:w="17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销售业绩关联（10分）</w:t>
            </w:r>
          </w:p>
        </w:tc>
        <w:tc>
          <w:tcPr>
            <w:tcW w:w="1274"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与公司整体销售目标关联</w:t>
            </w:r>
          </w:p>
        </w:tc>
        <w:tc>
          <w:tcPr>
            <w:tcW w:w="3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销售目标（月）：</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实际完成：月度目标</w:t>
            </w: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实际完成：</w:t>
            </w: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见附件《2020年下半年度销售目标》</w:t>
            </w:r>
          </w:p>
        </w:tc>
      </w:tr>
      <w:tr>
        <w:tblPrEx>
          <w:shd w:val="clear" w:color="auto" w:fill="auto"/>
          <w:tblCellMar>
            <w:top w:w="0" w:type="dxa"/>
            <w:left w:w="0" w:type="dxa"/>
            <w:bottom w:w="0" w:type="dxa"/>
            <w:right w:w="0" w:type="dxa"/>
          </w:tblCellMar>
        </w:tblPrEx>
        <w:trPr>
          <w:trHeight w:val="330" w:hRule="atLeast"/>
        </w:trPr>
        <w:tc>
          <w:tcPr>
            <w:tcW w:w="1797" w:type="dxa"/>
            <w:vMerge w:val="restart"/>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关键行为</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（20分）</w:t>
            </w:r>
          </w:p>
        </w:tc>
        <w:tc>
          <w:tcPr>
            <w:tcW w:w="1274"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工作汇报</w:t>
            </w:r>
          </w:p>
        </w:tc>
        <w:tc>
          <w:tcPr>
            <w:tcW w:w="379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按要求提交工作汇报</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≤10分</w:t>
            </w:r>
          </w:p>
        </w:tc>
      </w:tr>
      <w:tr>
        <w:tblPrEx>
          <w:shd w:val="clear" w:color="auto" w:fill="auto"/>
          <w:tblCellMar>
            <w:top w:w="0" w:type="dxa"/>
            <w:left w:w="0" w:type="dxa"/>
            <w:bottom w:w="0" w:type="dxa"/>
            <w:right w:w="0" w:type="dxa"/>
          </w:tblCellMar>
        </w:tblPrEx>
        <w:trPr>
          <w:trHeight w:val="330" w:hRule="atLeast"/>
        </w:trPr>
        <w:tc>
          <w:tcPr>
            <w:tcW w:w="1797" w:type="dxa"/>
            <w:vMerge w:val="continue"/>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274"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79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按要求回复下属日报</w:t>
            </w:r>
          </w:p>
        </w:tc>
        <w:tc>
          <w:tcPr>
            <w:tcW w:w="15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73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w:t>
            </w: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≤10分</w:t>
            </w:r>
          </w:p>
        </w:tc>
      </w:tr>
      <w:tr>
        <w:tblPrEx>
          <w:shd w:val="clear" w:color="auto" w:fill="auto"/>
          <w:tblCellMar>
            <w:top w:w="0" w:type="dxa"/>
            <w:left w:w="0" w:type="dxa"/>
            <w:bottom w:w="0" w:type="dxa"/>
            <w:right w:w="0" w:type="dxa"/>
          </w:tblCellMar>
        </w:tblPrEx>
        <w:trPr>
          <w:trHeight w:val="330" w:hRule="atLeast"/>
        </w:trPr>
        <w:tc>
          <w:tcPr>
            <w:tcW w:w="17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附加项</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工作贡献</w:t>
            </w:r>
          </w:p>
        </w:tc>
        <w:tc>
          <w:tcPr>
            <w:tcW w:w="4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总经理打分</w:t>
            </w:r>
            <w:r>
              <w:rPr>
                <w:rStyle w:val="19"/>
                <w:lang w:val="en-US" w:eastAsia="zh-CN" w:bidi="ar"/>
              </w:rPr>
              <w:t>（≤50分）</w:t>
            </w:r>
          </w:p>
        </w:tc>
      </w:tr>
      <w:tr>
        <w:tblPrEx>
          <w:shd w:val="clear" w:color="auto" w:fill="auto"/>
          <w:tblCellMar>
            <w:top w:w="0" w:type="dxa"/>
            <w:left w:w="0" w:type="dxa"/>
            <w:bottom w:w="0" w:type="dxa"/>
            <w:right w:w="0" w:type="dxa"/>
          </w:tblCellMar>
        </w:tblPrEx>
        <w:trPr>
          <w:trHeight w:val="780" w:hRule="atLeast"/>
        </w:trPr>
        <w:tc>
          <w:tcPr>
            <w:tcW w:w="6866"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个人考核得分：</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部门平均得分：</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r>
              <w:rPr>
                <w:rFonts w:hint="eastAsia" w:ascii="微软雅黑 Light" w:hAnsi="微软雅黑 Light" w:eastAsia="微软雅黑 Light" w:cs="微软雅黑 Light"/>
                <w:i w:val="0"/>
                <w:color w:val="000000"/>
                <w:kern w:val="0"/>
                <w:sz w:val="18"/>
                <w:szCs w:val="18"/>
                <w:u w:val="none"/>
                <w:lang w:val="en-US" w:eastAsia="zh-CN" w:bidi="ar"/>
              </w:rPr>
              <w:t xml:space="preserve">              </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5426"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考核得分：</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r>
              <w:rPr>
                <w:rFonts w:hint="eastAsia" w:ascii="微软雅黑 Light" w:hAnsi="微软雅黑 Light" w:eastAsia="微软雅黑 Light" w:cs="微软雅黑 Light"/>
                <w:i w:val="0"/>
                <w:color w:val="000000"/>
                <w:kern w:val="0"/>
                <w:sz w:val="18"/>
                <w:szCs w:val="18"/>
                <w:u w:val="singl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考核等级：</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p>
        </w:tc>
      </w:tr>
      <w:tr>
        <w:tblPrEx>
          <w:shd w:val="clear" w:color="auto" w:fill="auto"/>
          <w:tblCellMar>
            <w:top w:w="0" w:type="dxa"/>
            <w:left w:w="0" w:type="dxa"/>
            <w:bottom w:w="0" w:type="dxa"/>
            <w:right w:w="0" w:type="dxa"/>
          </w:tblCellMar>
        </w:tblPrEx>
        <w:trPr>
          <w:trHeight w:val="560" w:hRule="atLeast"/>
        </w:trPr>
        <w:tc>
          <w:tcPr>
            <w:tcW w:w="13988" w:type="dxa"/>
            <w:gridSpan w:val="10"/>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综合评价（总经理）：</w:t>
            </w:r>
          </w:p>
        </w:tc>
      </w:tr>
      <w:tr>
        <w:tblPrEx>
          <w:shd w:val="clear" w:color="auto" w:fill="auto"/>
          <w:tblCellMar>
            <w:top w:w="0" w:type="dxa"/>
            <w:left w:w="0" w:type="dxa"/>
            <w:bottom w:w="0" w:type="dxa"/>
            <w:right w:w="0" w:type="dxa"/>
          </w:tblCellMar>
        </w:tblPrEx>
        <w:trPr>
          <w:trHeight w:val="360" w:hRule="atLeast"/>
        </w:trPr>
        <w:tc>
          <w:tcPr>
            <w:tcW w:w="13988" w:type="dxa"/>
            <w:gridSpan w:val="10"/>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20"/>
                <w:szCs w:val="20"/>
                <w:u w:val="none"/>
              </w:rPr>
            </w:pPr>
            <w:r>
              <w:rPr>
                <w:rFonts w:hint="eastAsia" w:ascii="微软雅黑 Light" w:hAnsi="微软雅黑 Light" w:eastAsia="微软雅黑 Light" w:cs="微软雅黑 Light"/>
                <w:i w:val="0"/>
                <w:color w:val="000000"/>
                <w:kern w:val="0"/>
                <w:sz w:val="20"/>
                <w:szCs w:val="20"/>
                <w:u w:val="none"/>
                <w:lang w:val="en-US" w:eastAsia="zh-CN" w:bidi="ar"/>
              </w:rPr>
              <w:t>填表说明：</w:t>
            </w:r>
          </w:p>
        </w:tc>
      </w:tr>
      <w:tr>
        <w:tblPrEx>
          <w:shd w:val="clear" w:color="auto" w:fill="auto"/>
          <w:tblCellMar>
            <w:top w:w="0" w:type="dxa"/>
            <w:left w:w="0" w:type="dxa"/>
            <w:bottom w:w="0" w:type="dxa"/>
            <w:right w:w="0" w:type="dxa"/>
          </w:tblCellMar>
        </w:tblPrEx>
        <w:trPr>
          <w:trHeight w:val="2360" w:hRule="atLeast"/>
        </w:trPr>
        <w:tc>
          <w:tcPr>
            <w:tcW w:w="13988" w:type="dxa"/>
            <w:gridSpan w:val="10"/>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微软雅黑 Light" w:hAnsi="微软雅黑 Light" w:eastAsia="微软雅黑 Light" w:cs="微软雅黑 Light"/>
                <w:b/>
                <w:i w:val="0"/>
                <w:color w:val="000000"/>
                <w:sz w:val="20"/>
                <w:szCs w:val="20"/>
                <w:u w:val="none"/>
              </w:rPr>
            </w:pPr>
            <w:r>
              <w:rPr>
                <w:rFonts w:hint="eastAsia" w:ascii="微软雅黑 Light" w:hAnsi="微软雅黑 Light" w:eastAsia="微软雅黑 Light" w:cs="微软雅黑 Light"/>
                <w:b/>
                <w:i w:val="0"/>
                <w:color w:val="000000"/>
                <w:kern w:val="0"/>
                <w:sz w:val="20"/>
                <w:szCs w:val="20"/>
                <w:u w:val="none"/>
                <w:lang w:val="en-US" w:eastAsia="zh-CN" w:bidi="ar"/>
              </w:rPr>
              <w:t>A级</w:t>
            </w:r>
            <w:r>
              <w:rPr>
                <w:rFonts w:hint="eastAsia" w:ascii="微软雅黑 Light" w:hAnsi="微软雅黑 Light" w:eastAsia="微软雅黑 Light" w:cs="微软雅黑 Light"/>
                <w:i w:val="0"/>
                <w:color w:val="000000"/>
                <w:kern w:val="0"/>
                <w:sz w:val="20"/>
                <w:szCs w:val="20"/>
                <w:u w:val="none"/>
                <w:lang w:val="en-US" w:eastAsia="zh-CN" w:bidi="ar"/>
              </w:rPr>
              <w:t>：依据公司经营目标，直接分解或转化分解的月度计划目标，作为为月度重点难点工作、必须达成事项；如未完成当月核心指标，则按一票否决考核，当月绩效工资为0；</w:t>
            </w:r>
            <w:r>
              <w:rPr>
                <w:rFonts w:hint="eastAsia" w:ascii="微软雅黑 Light" w:hAnsi="微软雅黑 Light" w:eastAsia="微软雅黑 Light" w:cs="微软雅黑 Light"/>
                <w:i w:val="0"/>
                <w:color w:val="000000"/>
                <w:kern w:val="0"/>
                <w:sz w:val="20"/>
                <w:szCs w:val="20"/>
                <w:u w:val="none"/>
                <w:lang w:val="en-US" w:eastAsia="zh-CN" w:bidi="ar"/>
              </w:rPr>
              <w:br w:type="textWrapping"/>
            </w:r>
            <w:r>
              <w:rPr>
                <w:rFonts w:hint="eastAsia" w:ascii="微软雅黑 Light" w:hAnsi="微软雅黑 Light" w:eastAsia="微软雅黑 Light" w:cs="微软雅黑 Light"/>
                <w:b/>
                <w:i w:val="0"/>
                <w:color w:val="000000"/>
                <w:kern w:val="0"/>
                <w:sz w:val="20"/>
                <w:szCs w:val="20"/>
                <w:u w:val="none"/>
                <w:lang w:val="en-US" w:eastAsia="zh-CN" w:bidi="ar"/>
              </w:rPr>
              <w:t>B级</w:t>
            </w:r>
            <w:r>
              <w:rPr>
                <w:rFonts w:hint="eastAsia" w:ascii="微软雅黑 Light" w:hAnsi="微软雅黑 Light" w:eastAsia="微软雅黑 Light" w:cs="微软雅黑 Light"/>
                <w:i w:val="0"/>
                <w:color w:val="000000"/>
                <w:kern w:val="0"/>
                <w:sz w:val="20"/>
                <w:szCs w:val="20"/>
                <w:u w:val="none"/>
                <w:lang w:val="en-US" w:eastAsia="zh-CN" w:bidi="ar"/>
              </w:rPr>
              <w:t>：需定期或按时向其他部门提交的材料或需要配合的工作，此材料或项目是直接或间接影响对方部门当月核心指标完成因素；如被其他部门举证出现不配合、未及时提交的情况，则部门负责人当月绩效为0；</w:t>
            </w:r>
            <w:r>
              <w:rPr>
                <w:rFonts w:hint="eastAsia" w:ascii="微软雅黑 Light" w:hAnsi="微软雅黑 Light" w:eastAsia="微软雅黑 Light" w:cs="微软雅黑 Light"/>
                <w:i w:val="0"/>
                <w:color w:val="000000"/>
                <w:kern w:val="0"/>
                <w:sz w:val="20"/>
                <w:szCs w:val="20"/>
                <w:u w:val="none"/>
                <w:lang w:val="en-US" w:eastAsia="zh-CN" w:bidi="ar"/>
              </w:rPr>
              <w:br w:type="textWrapping"/>
            </w:r>
            <w:r>
              <w:rPr>
                <w:rFonts w:hint="eastAsia" w:ascii="微软雅黑 Light" w:hAnsi="微软雅黑 Light" w:eastAsia="微软雅黑 Light" w:cs="微软雅黑 Light"/>
                <w:b/>
                <w:i w:val="0"/>
                <w:color w:val="000000"/>
                <w:kern w:val="0"/>
                <w:sz w:val="20"/>
                <w:szCs w:val="20"/>
                <w:u w:val="none"/>
                <w:lang w:val="en-US" w:eastAsia="zh-CN" w:bidi="ar"/>
              </w:rPr>
              <w:t>C级</w:t>
            </w:r>
            <w:r>
              <w:rPr>
                <w:rFonts w:hint="eastAsia" w:ascii="微软雅黑 Light" w:hAnsi="微软雅黑 Light" w:eastAsia="微软雅黑 Light" w:cs="微软雅黑 Light"/>
                <w:i w:val="0"/>
                <w:color w:val="000000"/>
                <w:kern w:val="0"/>
                <w:sz w:val="20"/>
                <w:szCs w:val="20"/>
                <w:u w:val="none"/>
                <w:lang w:val="en-US" w:eastAsia="zh-CN" w:bidi="ar"/>
              </w:rPr>
              <w:t>：出现以下情况之一的，当月绩效为0：①严重违反国家法律法规、公司规章制度；②给公司造成重大经济损失无法挽回的；③造成企业名誉严重受损的；④试用期不符合录用条件。</w:t>
            </w:r>
            <w:r>
              <w:rPr>
                <w:rFonts w:hint="eastAsia" w:ascii="微软雅黑 Light" w:hAnsi="微软雅黑 Light" w:eastAsia="微软雅黑 Light" w:cs="微软雅黑 Light"/>
                <w:i w:val="0"/>
                <w:color w:val="000000"/>
                <w:kern w:val="0"/>
                <w:sz w:val="20"/>
                <w:szCs w:val="20"/>
                <w:u w:val="none"/>
                <w:lang w:val="en-US" w:eastAsia="zh-CN" w:bidi="ar"/>
              </w:rPr>
              <w:br w:type="textWrapping"/>
            </w:r>
            <w:r>
              <w:rPr>
                <w:rFonts w:hint="eastAsia" w:ascii="微软雅黑 Light" w:hAnsi="微软雅黑 Light" w:eastAsia="微软雅黑 Light" w:cs="微软雅黑 Light"/>
                <w:b/>
                <w:i w:val="0"/>
                <w:color w:val="000000"/>
                <w:kern w:val="0"/>
                <w:sz w:val="20"/>
                <w:szCs w:val="20"/>
                <w:u w:val="none"/>
                <w:lang w:val="en-US" w:eastAsia="zh-CN" w:bidi="ar"/>
              </w:rPr>
              <w:t>2.*附加项：</w:t>
            </w:r>
            <w:r>
              <w:rPr>
                <w:rFonts w:hint="eastAsia" w:ascii="微软雅黑 Light" w:hAnsi="微软雅黑 Light" w:eastAsia="微软雅黑 Light" w:cs="微软雅黑 Light"/>
                <w:i w:val="0"/>
                <w:color w:val="000000"/>
                <w:kern w:val="0"/>
                <w:sz w:val="20"/>
                <w:szCs w:val="20"/>
                <w:u w:val="none"/>
                <w:lang w:val="en-US" w:eastAsia="zh-CN" w:bidi="ar"/>
              </w:rPr>
              <w:t>由总经理填写，</w:t>
            </w:r>
            <w:r>
              <w:rPr>
                <w:rFonts w:hint="eastAsia" w:ascii="微软雅黑 Light" w:hAnsi="微软雅黑 Light" w:eastAsia="微软雅黑 Light" w:cs="微软雅黑 Light"/>
                <w:i w:val="0"/>
                <w:color w:val="auto"/>
                <w:kern w:val="0"/>
                <w:sz w:val="20"/>
                <w:szCs w:val="20"/>
                <w:u w:val="none"/>
                <w:lang w:val="en-US" w:eastAsia="zh-CN" w:bidi="ar"/>
              </w:rPr>
              <w:t>内容包含：①学习分享；②创新的理念或建议；③其他特别贡献。</w:t>
            </w:r>
          </w:p>
        </w:tc>
      </w:tr>
    </w:tbl>
    <w:p>
      <w:pPr>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br w:type="page"/>
      </w:r>
    </w:p>
    <w:tbl>
      <w:tblPr>
        <w:tblStyle w:val="5"/>
        <w:tblW w:w="14295" w:type="dxa"/>
        <w:tblInd w:w="0" w:type="dxa"/>
        <w:shd w:val="clear" w:color="auto" w:fill="auto"/>
        <w:tblLayout w:type="autofit"/>
        <w:tblCellMar>
          <w:top w:w="0" w:type="dxa"/>
          <w:left w:w="0" w:type="dxa"/>
          <w:bottom w:w="0" w:type="dxa"/>
          <w:right w:w="0" w:type="dxa"/>
        </w:tblCellMar>
      </w:tblPr>
      <w:tblGrid>
        <w:gridCol w:w="1455"/>
        <w:gridCol w:w="1650"/>
        <w:gridCol w:w="2295"/>
        <w:gridCol w:w="1815"/>
        <w:gridCol w:w="585"/>
        <w:gridCol w:w="3390"/>
        <w:gridCol w:w="555"/>
        <w:gridCol w:w="2550"/>
      </w:tblGrid>
      <w:tr>
        <w:tblPrEx>
          <w:tblCellMar>
            <w:top w:w="0" w:type="dxa"/>
            <w:left w:w="0" w:type="dxa"/>
            <w:bottom w:w="0" w:type="dxa"/>
            <w:right w:w="0" w:type="dxa"/>
          </w:tblCellMar>
        </w:tblPrEx>
        <w:trPr>
          <w:trHeight w:val="580" w:hRule="atLeast"/>
        </w:trPr>
        <w:tc>
          <w:tcPr>
            <w:tcW w:w="1174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ascii="微软雅黑 Light" w:hAnsi="微软雅黑 Light" w:eastAsia="微软雅黑 Light" w:cs="微软雅黑 Light"/>
                <w:i w:val="0"/>
                <w:color w:val="000000"/>
                <w:sz w:val="20"/>
                <w:szCs w:val="20"/>
                <w:u w:val="none"/>
              </w:rPr>
            </w:pPr>
            <w:r>
              <w:rPr>
                <w:rFonts w:hint="eastAsia" w:ascii="微软雅黑 Light" w:hAnsi="微软雅黑 Light" w:eastAsia="微软雅黑 Light" w:cs="微软雅黑 Light"/>
                <w:i w:val="0"/>
                <w:color w:val="000000"/>
                <w:kern w:val="0"/>
                <w:sz w:val="20"/>
                <w:szCs w:val="20"/>
                <w:u w:val="none"/>
                <w:lang w:val="en-US" w:eastAsia="zh-CN" w:bidi="ar"/>
              </w:rPr>
              <w:t>陕西陆运帮网络科技有限公司</w:t>
            </w:r>
          </w:p>
        </w:tc>
      </w:tr>
      <w:tr>
        <w:tblPrEx>
          <w:tblCellMar>
            <w:top w:w="0" w:type="dxa"/>
            <w:left w:w="0" w:type="dxa"/>
            <w:bottom w:w="0" w:type="dxa"/>
            <w:right w:w="0" w:type="dxa"/>
          </w:tblCellMar>
        </w:tblPrEx>
        <w:trPr>
          <w:trHeight w:val="1100" w:hRule="atLeast"/>
        </w:trPr>
        <w:tc>
          <w:tcPr>
            <w:tcW w:w="0" w:type="auto"/>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20"/>
                <w:szCs w:val="20"/>
                <w:u w:val="none"/>
              </w:rPr>
            </w:pPr>
            <w:r>
              <w:rPr>
                <w:rFonts w:hint="eastAsia" w:ascii="微软雅黑 Light" w:hAnsi="微软雅黑 Light" w:eastAsia="微软雅黑 Light" w:cs="微软雅黑 Light"/>
                <w:b/>
                <w:i w:val="0"/>
                <w:color w:val="000000"/>
                <w:kern w:val="0"/>
                <w:sz w:val="20"/>
                <w:szCs w:val="20"/>
                <w:u w:val="none"/>
                <w:lang w:val="en-US" w:eastAsia="zh-CN" w:bidi="ar"/>
              </w:rPr>
              <w:t>2020年8月</w:t>
            </w:r>
            <w:r>
              <w:rPr>
                <w:rFonts w:hint="eastAsia" w:ascii="微软雅黑 Light" w:hAnsi="微软雅黑 Light" w:eastAsia="微软雅黑 Light" w:cs="微软雅黑 Light"/>
                <w:b/>
                <w:i w:val="0"/>
                <w:color w:val="000000"/>
                <w:kern w:val="0"/>
                <w:sz w:val="20"/>
                <w:szCs w:val="20"/>
                <w:u w:val="single"/>
                <w:lang w:val="en-US" w:eastAsia="zh-CN" w:bidi="ar"/>
              </w:rPr>
              <w:t xml:space="preserve">          </w:t>
            </w:r>
            <w:r>
              <w:rPr>
                <w:rFonts w:hint="eastAsia" w:ascii="微软雅黑 Light" w:hAnsi="微软雅黑 Light" w:eastAsia="微软雅黑 Light" w:cs="微软雅黑 Light"/>
                <w:b/>
                <w:i w:val="0"/>
                <w:color w:val="000000"/>
                <w:kern w:val="0"/>
                <w:sz w:val="20"/>
                <w:szCs w:val="20"/>
                <w:u w:val="none"/>
                <w:lang w:val="en-US" w:eastAsia="zh-CN" w:bidi="ar"/>
              </w:rPr>
              <w:t>绩效考核表（员工）</w:t>
            </w:r>
          </w:p>
        </w:tc>
      </w:tr>
      <w:tr>
        <w:tblPrEx>
          <w:tblCellMar>
            <w:top w:w="0" w:type="dxa"/>
            <w:left w:w="0" w:type="dxa"/>
            <w:bottom w:w="0" w:type="dxa"/>
            <w:right w:w="0" w:type="dxa"/>
          </w:tblCellMar>
        </w:tblPrEx>
        <w:trPr>
          <w:trHeight w:val="640" w:hRule="atLeast"/>
        </w:trPr>
        <w:tc>
          <w:tcPr>
            <w:tcW w:w="0" w:type="auto"/>
            <w:gridSpan w:val="2"/>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姓名：</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考核周期：</w:t>
            </w:r>
          </w:p>
        </w:tc>
        <w:tc>
          <w:tcPr>
            <w:tcW w:w="0" w:type="auto"/>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390" w:type="dxa"/>
            <w:tcBorders>
              <w:top w:val="nil"/>
              <w:left w:val="nil"/>
              <w:bottom w:val="nil"/>
              <w:right w:val="nil"/>
            </w:tcBorders>
            <w:shd w:val="clear" w:color="auto" w:fill="auto"/>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考核要素</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计划目标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评分标准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分值</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实际完成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评分来源</w:t>
            </w:r>
          </w:p>
        </w:tc>
      </w:tr>
      <w:tr>
        <w:tblPrEx>
          <w:tblCellMar>
            <w:top w:w="0" w:type="dxa"/>
            <w:left w:w="0" w:type="dxa"/>
            <w:bottom w:w="0" w:type="dxa"/>
            <w:right w:w="0" w:type="dxa"/>
          </w:tblCellMar>
        </w:tblPrEx>
        <w:trPr>
          <w:trHeight w:val="2520" w:hRule="atLeast"/>
        </w:trPr>
        <w:tc>
          <w:tcPr>
            <w:tcW w:w="145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*月度工作目标</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(70分)</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核心目标</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A级指标（填写）：</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A：超出：目标提前达成且超过逾期</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B：胜任：目标达成且超过预期</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C：符合：目标达成</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D：有差距：基本达成</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E：不符合：未达成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30</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b/>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b/>
                <w:i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A：超出：权重*200%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B：胜任：权重*150%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C：符合：权重*100%</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D：有差距：0-权重*60%</w:t>
            </w:r>
          </w:p>
        </w:tc>
      </w:tr>
      <w:tr>
        <w:tblPrEx>
          <w:tblCellMar>
            <w:top w:w="0" w:type="dxa"/>
            <w:left w:w="0" w:type="dxa"/>
            <w:bottom w:w="0" w:type="dxa"/>
            <w:right w:w="0" w:type="dxa"/>
          </w:tblCellMar>
        </w:tblPrEx>
        <w:trPr>
          <w:trHeight w:val="1340" w:hRule="atLeast"/>
        </w:trPr>
        <w:tc>
          <w:tcPr>
            <w:tcW w:w="145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常规/职责工作</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40</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48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防火墙指标</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C级指标（见指标解释）</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600" w:hRule="atLeast"/>
        </w:trPr>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态度素养</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(20分)</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敬业精神/责任感</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尽职尽责，爱岗敬业</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620" w:hRule="atLeast"/>
        </w:trPr>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时间观念</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对企业具备忠诚度和信赖，团结同事，传播正能量</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480" w:hRule="atLeast"/>
        </w:trPr>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执行力</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能做事、肯做事、诚信可靠</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580" w:hRule="atLeast"/>
        </w:trPr>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责任意识</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积极配合其他部门工作，有反馈无投诉</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460"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工作汇报</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日报/周报</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按要求进行工作汇报</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微软雅黑 Light" w:hAnsi="微软雅黑 Light" w:eastAsia="微软雅黑 Light" w:cs="微软雅黑 Light"/>
                <w:i w:val="0"/>
                <w:color w:val="000000"/>
                <w:sz w:val="18"/>
                <w:szCs w:val="18"/>
                <w:u w:val="none"/>
              </w:rPr>
            </w:pPr>
          </w:p>
        </w:tc>
      </w:tr>
      <w:tr>
        <w:tblPrEx>
          <w:tblCellMar>
            <w:top w:w="0" w:type="dxa"/>
            <w:left w:w="0" w:type="dxa"/>
            <w:bottom w:w="0" w:type="dxa"/>
            <w:right w:w="0" w:type="dxa"/>
          </w:tblCellMar>
        </w:tblPrEx>
        <w:trPr>
          <w:trHeight w:val="460"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附加项</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工作贡献</w:t>
            </w:r>
          </w:p>
        </w:tc>
        <w:tc>
          <w:tcPr>
            <w:tcW w:w="22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FF0000"/>
                <w:sz w:val="18"/>
                <w:szCs w:val="18"/>
                <w:u w:val="none"/>
              </w:rPr>
            </w:pPr>
            <w:r>
              <w:rPr>
                <w:rFonts w:hint="eastAsia" w:ascii="微软雅黑 Light" w:hAnsi="微软雅黑 Light" w:eastAsia="微软雅黑 Light" w:cs="微软雅黑 Light"/>
                <w:i w:val="0"/>
                <w:color w:val="FF0000"/>
                <w:kern w:val="0"/>
                <w:sz w:val="18"/>
                <w:szCs w:val="18"/>
                <w:u w:val="none"/>
                <w:lang w:val="en-US" w:eastAsia="zh-CN" w:bidi="ar"/>
              </w:rPr>
              <w:t>（填写）：</w:t>
            </w: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微软雅黑 Light" w:hAnsi="微软雅黑 Light" w:eastAsia="微软雅黑 Light" w:cs="微软雅黑 Light"/>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部门负责人打分</w:t>
            </w:r>
          </w:p>
        </w:tc>
      </w:tr>
      <w:tr>
        <w:tblPrEx>
          <w:tblCellMar>
            <w:top w:w="0" w:type="dxa"/>
            <w:left w:w="0" w:type="dxa"/>
            <w:bottom w:w="0" w:type="dxa"/>
            <w:right w:w="0" w:type="dxa"/>
          </w:tblCellMar>
        </w:tblPrEx>
        <w:trPr>
          <w:trHeight w:val="700" w:hRule="atLeast"/>
        </w:trPr>
        <w:tc>
          <w:tcPr>
            <w:tcW w:w="310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个人考核得分：</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微软雅黑 Light" w:hAnsi="微软雅黑 Light" w:eastAsia="微软雅黑 Light" w:cs="微软雅黑 Light"/>
                <w:i w:val="0"/>
                <w:color w:val="000000"/>
                <w:sz w:val="18"/>
                <w:szCs w:val="18"/>
                <w:u w:val="none"/>
              </w:rPr>
            </w:pPr>
          </w:p>
        </w:tc>
        <w:tc>
          <w:tcPr>
            <w:tcW w:w="708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考核得分：</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r>
              <w:rPr>
                <w:rFonts w:hint="eastAsia" w:ascii="微软雅黑 Light" w:hAnsi="微软雅黑 Light" w:eastAsia="微软雅黑 Light" w:cs="微软雅黑 Light"/>
                <w:i w:val="0"/>
                <w:color w:val="000000"/>
                <w:kern w:val="0"/>
                <w:sz w:val="18"/>
                <w:szCs w:val="18"/>
                <w:u w:val="single"/>
                <w:lang w:val="en-US" w:eastAsia="zh-CN" w:bidi="ar"/>
              </w:rPr>
              <w:br w:type="textWrapping"/>
            </w:r>
            <w:r>
              <w:rPr>
                <w:rFonts w:hint="eastAsia" w:ascii="微软雅黑 Light" w:hAnsi="微软雅黑 Light" w:eastAsia="微软雅黑 Light" w:cs="微软雅黑 Light"/>
                <w:i w:val="0"/>
                <w:color w:val="000000"/>
                <w:kern w:val="0"/>
                <w:sz w:val="18"/>
                <w:szCs w:val="18"/>
                <w:u w:val="none"/>
                <w:lang w:val="en-US" w:eastAsia="zh-CN" w:bidi="ar"/>
              </w:rPr>
              <w:t>考核等级：</w:t>
            </w:r>
            <w:r>
              <w:rPr>
                <w:rFonts w:hint="eastAsia" w:ascii="微软雅黑 Light" w:hAnsi="微软雅黑 Light" w:eastAsia="微软雅黑 Light" w:cs="微软雅黑 Light"/>
                <w:i w:val="0"/>
                <w:color w:val="000000"/>
                <w:kern w:val="0"/>
                <w:sz w:val="18"/>
                <w:szCs w:val="18"/>
                <w:u w:val="single"/>
                <w:lang w:val="en-US" w:eastAsia="zh-CN" w:bidi="ar"/>
              </w:rPr>
              <w:t xml:space="preserve">         </w:t>
            </w:r>
          </w:p>
        </w:tc>
      </w:tr>
      <w:tr>
        <w:tblPrEx>
          <w:tblCellMar>
            <w:top w:w="0" w:type="dxa"/>
            <w:left w:w="0" w:type="dxa"/>
            <w:bottom w:w="0" w:type="dxa"/>
            <w:right w:w="0" w:type="dxa"/>
          </w:tblCellMar>
        </w:tblPrEx>
        <w:trPr>
          <w:trHeight w:val="52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综合评价（部门负责人）：</w:t>
            </w:r>
          </w:p>
        </w:tc>
      </w:tr>
      <w:tr>
        <w:tblPrEx>
          <w:tblCellMar>
            <w:top w:w="0" w:type="dxa"/>
            <w:left w:w="0" w:type="dxa"/>
            <w:bottom w:w="0" w:type="dxa"/>
            <w:right w:w="0" w:type="dxa"/>
          </w:tblCellMar>
        </w:tblPrEx>
        <w:trPr>
          <w:trHeight w:val="380" w:hRule="atLeast"/>
        </w:trPr>
        <w:tc>
          <w:tcPr>
            <w:tcW w:w="0" w:type="auto"/>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Light" w:hAnsi="微软雅黑 Light" w:eastAsia="微软雅黑 Light" w:cs="微软雅黑 Light"/>
                <w:i w:val="0"/>
                <w:color w:val="000000"/>
                <w:sz w:val="18"/>
                <w:szCs w:val="18"/>
                <w:u w:val="none"/>
              </w:rPr>
            </w:pPr>
            <w:r>
              <w:rPr>
                <w:rFonts w:hint="eastAsia" w:ascii="微软雅黑 Light" w:hAnsi="微软雅黑 Light" w:eastAsia="微软雅黑 Light" w:cs="微软雅黑 Light"/>
                <w:i w:val="0"/>
                <w:color w:val="000000"/>
                <w:kern w:val="0"/>
                <w:sz w:val="18"/>
                <w:szCs w:val="18"/>
                <w:u w:val="none"/>
                <w:lang w:val="en-US" w:eastAsia="zh-CN" w:bidi="ar"/>
              </w:rPr>
              <w:t>填表说明：</w:t>
            </w:r>
          </w:p>
        </w:tc>
      </w:tr>
      <w:tr>
        <w:tblPrEx>
          <w:tblCellMar>
            <w:top w:w="0" w:type="dxa"/>
            <w:left w:w="0" w:type="dxa"/>
            <w:bottom w:w="0" w:type="dxa"/>
            <w:right w:w="0" w:type="dxa"/>
          </w:tblCellMar>
        </w:tblPrEx>
        <w:trPr>
          <w:trHeight w:val="1380" w:hRule="atLeast"/>
        </w:trPr>
        <w:tc>
          <w:tcPr>
            <w:tcW w:w="11745" w:type="dxa"/>
            <w:gridSpan w:val="8"/>
            <w:tcBorders>
              <w:top w:val="nil"/>
              <w:left w:val="nil"/>
              <w:bottom w:val="nil"/>
              <w:right w:val="nil"/>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微软雅黑 Light" w:hAnsi="微软雅黑 Light" w:eastAsia="微软雅黑 Light" w:cs="微软雅黑 Light"/>
                <w:b/>
                <w:i w:val="0"/>
                <w:color w:val="000000"/>
                <w:sz w:val="18"/>
                <w:szCs w:val="18"/>
                <w:u w:val="none"/>
              </w:rPr>
            </w:pPr>
            <w:r>
              <w:rPr>
                <w:rFonts w:hint="eastAsia" w:ascii="微软雅黑 Light" w:hAnsi="微软雅黑 Light" w:eastAsia="微软雅黑 Light" w:cs="微软雅黑 Light"/>
                <w:b/>
                <w:i w:val="0"/>
                <w:color w:val="000000"/>
                <w:kern w:val="0"/>
                <w:sz w:val="18"/>
                <w:szCs w:val="18"/>
                <w:u w:val="none"/>
                <w:lang w:val="en-US" w:eastAsia="zh-CN" w:bidi="ar"/>
              </w:rPr>
              <w:t>1.指标说明</w:t>
            </w:r>
            <w:r>
              <w:rPr>
                <w:rFonts w:hint="eastAsia" w:ascii="微软雅黑 Light" w:hAnsi="微软雅黑 Light" w:eastAsia="微软雅黑 Light" w:cs="微软雅黑 Light"/>
                <w:i w:val="0"/>
                <w:color w:val="000000"/>
                <w:kern w:val="0"/>
                <w:sz w:val="18"/>
                <w:szCs w:val="18"/>
                <w:u w:val="none"/>
                <w:lang w:val="en-US" w:eastAsia="zh-CN" w:bidi="ar"/>
              </w:rPr>
              <w:t>：本月必须达成事项，按一票否决考核，取消全额月度绩效工资，严重的会影响年度绩效奖金。</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b/>
                <w:i w:val="0"/>
                <w:color w:val="000000"/>
                <w:kern w:val="0"/>
                <w:sz w:val="18"/>
                <w:szCs w:val="18"/>
                <w:u w:val="none"/>
                <w:lang w:val="en-US" w:eastAsia="zh-CN" w:bidi="ar"/>
              </w:rPr>
              <w:t>A级</w:t>
            </w:r>
            <w:r>
              <w:rPr>
                <w:rFonts w:hint="eastAsia" w:ascii="微软雅黑 Light" w:hAnsi="微软雅黑 Light" w:eastAsia="微软雅黑 Light" w:cs="微软雅黑 Light"/>
                <w:i w:val="0"/>
                <w:color w:val="000000"/>
                <w:kern w:val="0"/>
                <w:sz w:val="18"/>
                <w:szCs w:val="18"/>
                <w:u w:val="none"/>
                <w:lang w:val="en-US" w:eastAsia="zh-CN" w:bidi="ar"/>
              </w:rPr>
              <w:t>：依据公司经营目标，直接分解或转化分解的月度计划目标，作为为月度重点难点工作、必须达成事项；</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b/>
                <w:i w:val="0"/>
                <w:color w:val="000000"/>
                <w:kern w:val="0"/>
                <w:sz w:val="18"/>
                <w:szCs w:val="18"/>
                <w:u w:val="none"/>
                <w:lang w:val="en-US" w:eastAsia="zh-CN" w:bidi="ar"/>
              </w:rPr>
              <w:t>C级</w:t>
            </w:r>
            <w:r>
              <w:rPr>
                <w:rFonts w:hint="eastAsia" w:ascii="微软雅黑 Light" w:hAnsi="微软雅黑 Light" w:eastAsia="微软雅黑 Light" w:cs="微软雅黑 Light"/>
                <w:i w:val="0"/>
                <w:color w:val="000000"/>
                <w:kern w:val="0"/>
                <w:sz w:val="18"/>
                <w:szCs w:val="18"/>
                <w:u w:val="none"/>
                <w:lang w:val="en-US" w:eastAsia="zh-CN" w:bidi="ar"/>
              </w:rPr>
              <w:t>：①严重违反国家法律法规、公司规章制度；②给公司造成重大经济损失无法挽回的；③造成企业名誉严重受损的；④试用期不符合录用条件。</w:t>
            </w:r>
            <w:r>
              <w:rPr>
                <w:rFonts w:hint="eastAsia" w:ascii="微软雅黑 Light" w:hAnsi="微软雅黑 Light" w:eastAsia="微软雅黑 Light" w:cs="微软雅黑 Light"/>
                <w:i w:val="0"/>
                <w:color w:val="000000"/>
                <w:kern w:val="0"/>
                <w:sz w:val="18"/>
                <w:szCs w:val="18"/>
                <w:u w:val="none"/>
                <w:lang w:val="en-US" w:eastAsia="zh-CN" w:bidi="ar"/>
              </w:rPr>
              <w:br w:type="textWrapping"/>
            </w:r>
            <w:r>
              <w:rPr>
                <w:rFonts w:hint="eastAsia" w:ascii="微软雅黑 Light" w:hAnsi="微软雅黑 Light" w:eastAsia="微软雅黑 Light" w:cs="微软雅黑 Light"/>
                <w:b/>
                <w:i w:val="0"/>
                <w:color w:val="000000"/>
                <w:kern w:val="0"/>
                <w:sz w:val="18"/>
                <w:szCs w:val="18"/>
                <w:u w:val="none"/>
                <w:lang w:val="en-US" w:eastAsia="zh-CN" w:bidi="ar"/>
              </w:rPr>
              <w:t>2.*附加项：</w:t>
            </w:r>
            <w:r>
              <w:rPr>
                <w:rFonts w:hint="eastAsia" w:ascii="微软雅黑 Light" w:hAnsi="微软雅黑 Light" w:eastAsia="微软雅黑 Light" w:cs="微软雅黑 Light"/>
                <w:i w:val="0"/>
                <w:color w:val="000000"/>
                <w:kern w:val="0"/>
                <w:sz w:val="18"/>
                <w:szCs w:val="18"/>
                <w:u w:val="none"/>
                <w:lang w:val="en-US" w:eastAsia="zh-CN" w:bidi="ar"/>
              </w:rPr>
              <w:t>由部门负责人填写</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 w:val="28"/>
          <w:szCs w:val="28"/>
          <w:lang w:val="en-US" w:eastAsia="zh-CN"/>
        </w:rPr>
      </w:pPr>
    </w:p>
    <w:sectPr>
      <w:pgSz w:w="16838" w:h="11906" w:orient="landscape"/>
      <w:pgMar w:top="1701"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Light">
    <w:panose1 w:val="020B0502040204020203"/>
    <w:charset w:val="86"/>
    <w:family w:val="auto"/>
    <w:pitch w:val="default"/>
    <w:sig w:usb0="80000287" w:usb1="28CF001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D758B2"/>
    <w:multiLevelType w:val="singleLevel"/>
    <w:tmpl w:val="81D758B2"/>
    <w:lvl w:ilvl="0" w:tentative="0">
      <w:start w:val="4"/>
      <w:numFmt w:val="decimal"/>
      <w:lvlText w:val="%1."/>
      <w:lvlJc w:val="left"/>
      <w:pPr>
        <w:tabs>
          <w:tab w:val="left" w:pos="312"/>
        </w:tabs>
      </w:pPr>
    </w:lvl>
  </w:abstractNum>
  <w:abstractNum w:abstractNumId="1">
    <w:nsid w:val="FE7EB91D"/>
    <w:multiLevelType w:val="singleLevel"/>
    <w:tmpl w:val="FE7EB91D"/>
    <w:lvl w:ilvl="0" w:tentative="0">
      <w:start w:val="5"/>
      <w:numFmt w:val="chineseCounting"/>
      <w:suff w:val="space"/>
      <w:lvlText w:val="第%1条"/>
      <w:lvlJc w:val="left"/>
      <w:rPr>
        <w:rFonts w:hint="eastAsia"/>
      </w:rPr>
    </w:lvl>
  </w:abstractNum>
  <w:abstractNum w:abstractNumId="2">
    <w:nsid w:val="038F015D"/>
    <w:multiLevelType w:val="singleLevel"/>
    <w:tmpl w:val="038F015D"/>
    <w:lvl w:ilvl="0" w:tentative="0">
      <w:start w:val="4"/>
      <w:numFmt w:val="chineseCounting"/>
      <w:suff w:val="space"/>
      <w:lvlText w:val="第%1章"/>
      <w:lvlJc w:val="left"/>
      <w:rPr>
        <w:rFonts w:hint="eastAsia"/>
      </w:rPr>
    </w:lvl>
  </w:abstractNum>
  <w:abstractNum w:abstractNumId="3">
    <w:nsid w:val="0F1335C6"/>
    <w:multiLevelType w:val="singleLevel"/>
    <w:tmpl w:val="0F1335C6"/>
    <w:lvl w:ilvl="0" w:tentative="0">
      <w:start w:val="1"/>
      <w:numFmt w:val="chineseCounting"/>
      <w:suff w:val="space"/>
      <w:lvlText w:val="第%1条"/>
      <w:lvlJc w:val="left"/>
      <w:rPr>
        <w:rFonts w:hint="eastAsia"/>
      </w:rPr>
    </w:lvl>
  </w:abstractNum>
  <w:abstractNum w:abstractNumId="4">
    <w:nsid w:val="2C99D5BD"/>
    <w:multiLevelType w:val="singleLevel"/>
    <w:tmpl w:val="2C99D5BD"/>
    <w:lvl w:ilvl="0" w:tentative="0">
      <w:start w:val="1"/>
      <w:numFmt w:val="decimal"/>
      <w:suff w:val="nothing"/>
      <w:lvlText w:val="（%1）"/>
      <w:lvlJc w:val="left"/>
    </w:lvl>
  </w:abstractNum>
  <w:abstractNum w:abstractNumId="5">
    <w:nsid w:val="77B766A0"/>
    <w:multiLevelType w:val="singleLevel"/>
    <w:tmpl w:val="77B766A0"/>
    <w:lvl w:ilvl="0" w:tentative="0">
      <w:start w:val="1"/>
      <w:numFmt w:val="decimal"/>
      <w:lvlText w:val="%1."/>
      <w:lvlJc w:val="left"/>
      <w:pPr>
        <w:tabs>
          <w:tab w:val="left" w:pos="312"/>
        </w:tabs>
      </w:pPr>
    </w:lvl>
  </w:abstractNum>
  <w:num w:numId="1">
    <w:abstractNumId w:val="3"/>
  </w:num>
  <w:num w:numId="2">
    <w:abstractNumId w:val="1"/>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087925"/>
    <w:rsid w:val="00680B22"/>
    <w:rsid w:val="00DD2321"/>
    <w:rsid w:val="01350D5E"/>
    <w:rsid w:val="013D75FA"/>
    <w:rsid w:val="030C1C50"/>
    <w:rsid w:val="0318135E"/>
    <w:rsid w:val="0352363C"/>
    <w:rsid w:val="03A01C99"/>
    <w:rsid w:val="03C24D2C"/>
    <w:rsid w:val="044E608F"/>
    <w:rsid w:val="0477459F"/>
    <w:rsid w:val="047E64E7"/>
    <w:rsid w:val="047E74C6"/>
    <w:rsid w:val="04884483"/>
    <w:rsid w:val="05260AA1"/>
    <w:rsid w:val="05AC0535"/>
    <w:rsid w:val="05B917F4"/>
    <w:rsid w:val="07326806"/>
    <w:rsid w:val="073A5E09"/>
    <w:rsid w:val="074D51BE"/>
    <w:rsid w:val="07E2105A"/>
    <w:rsid w:val="07FC46F9"/>
    <w:rsid w:val="08B91C43"/>
    <w:rsid w:val="08C109E6"/>
    <w:rsid w:val="092631FF"/>
    <w:rsid w:val="0A016DFF"/>
    <w:rsid w:val="0ACB540E"/>
    <w:rsid w:val="0B345C7B"/>
    <w:rsid w:val="0B5A499D"/>
    <w:rsid w:val="0BAB3DC2"/>
    <w:rsid w:val="0BB86CC8"/>
    <w:rsid w:val="0BBC6FE8"/>
    <w:rsid w:val="0BC42A6D"/>
    <w:rsid w:val="0BC84250"/>
    <w:rsid w:val="0C1040B5"/>
    <w:rsid w:val="0C6142B5"/>
    <w:rsid w:val="0C785EE1"/>
    <w:rsid w:val="0C884730"/>
    <w:rsid w:val="0CC055AE"/>
    <w:rsid w:val="0D9507FB"/>
    <w:rsid w:val="0DA056B3"/>
    <w:rsid w:val="0DE54141"/>
    <w:rsid w:val="0EBD267D"/>
    <w:rsid w:val="104E1297"/>
    <w:rsid w:val="10550986"/>
    <w:rsid w:val="107161B3"/>
    <w:rsid w:val="10BE5236"/>
    <w:rsid w:val="11644A3C"/>
    <w:rsid w:val="11BF0337"/>
    <w:rsid w:val="121B2C78"/>
    <w:rsid w:val="121F300E"/>
    <w:rsid w:val="12243351"/>
    <w:rsid w:val="122D2F9A"/>
    <w:rsid w:val="12BA4050"/>
    <w:rsid w:val="12EF197F"/>
    <w:rsid w:val="12FA5947"/>
    <w:rsid w:val="132A186A"/>
    <w:rsid w:val="15F916E1"/>
    <w:rsid w:val="1643281D"/>
    <w:rsid w:val="17721A9B"/>
    <w:rsid w:val="190C3584"/>
    <w:rsid w:val="195721CE"/>
    <w:rsid w:val="19946F0C"/>
    <w:rsid w:val="19C30A25"/>
    <w:rsid w:val="1AF822F9"/>
    <w:rsid w:val="1C2E3205"/>
    <w:rsid w:val="1CFF2485"/>
    <w:rsid w:val="1D4E1A56"/>
    <w:rsid w:val="1D4E6B0E"/>
    <w:rsid w:val="1D8B6095"/>
    <w:rsid w:val="1E2764CE"/>
    <w:rsid w:val="1E684F18"/>
    <w:rsid w:val="1E6C26DE"/>
    <w:rsid w:val="1E904A33"/>
    <w:rsid w:val="1EE51EE3"/>
    <w:rsid w:val="1F2E1459"/>
    <w:rsid w:val="1F481705"/>
    <w:rsid w:val="200130B8"/>
    <w:rsid w:val="204633AD"/>
    <w:rsid w:val="20AF1285"/>
    <w:rsid w:val="20F609A3"/>
    <w:rsid w:val="20FE66B5"/>
    <w:rsid w:val="21ED4FAF"/>
    <w:rsid w:val="21FA1A55"/>
    <w:rsid w:val="220B55D6"/>
    <w:rsid w:val="223D762C"/>
    <w:rsid w:val="23204345"/>
    <w:rsid w:val="24473BE7"/>
    <w:rsid w:val="24950F36"/>
    <w:rsid w:val="25E600E6"/>
    <w:rsid w:val="268C3E70"/>
    <w:rsid w:val="26A56B65"/>
    <w:rsid w:val="26DC0FF7"/>
    <w:rsid w:val="279E4EF1"/>
    <w:rsid w:val="27DE3C83"/>
    <w:rsid w:val="282B2207"/>
    <w:rsid w:val="2835307B"/>
    <w:rsid w:val="285631F6"/>
    <w:rsid w:val="28622B5E"/>
    <w:rsid w:val="28650C71"/>
    <w:rsid w:val="288A7768"/>
    <w:rsid w:val="291C63EE"/>
    <w:rsid w:val="295B7251"/>
    <w:rsid w:val="29BE2039"/>
    <w:rsid w:val="29DF72EE"/>
    <w:rsid w:val="2A6E217D"/>
    <w:rsid w:val="2B232349"/>
    <w:rsid w:val="2B450B34"/>
    <w:rsid w:val="2B6A3EDA"/>
    <w:rsid w:val="2BA9643E"/>
    <w:rsid w:val="2C005F90"/>
    <w:rsid w:val="2C5A4B33"/>
    <w:rsid w:val="2CDD1129"/>
    <w:rsid w:val="2CFF49DE"/>
    <w:rsid w:val="2D81290C"/>
    <w:rsid w:val="2DA21692"/>
    <w:rsid w:val="2DAA295E"/>
    <w:rsid w:val="2E010D79"/>
    <w:rsid w:val="2E3C7AEE"/>
    <w:rsid w:val="2E612DFB"/>
    <w:rsid w:val="2E8F6845"/>
    <w:rsid w:val="30D37797"/>
    <w:rsid w:val="319B3C65"/>
    <w:rsid w:val="31BC3968"/>
    <w:rsid w:val="31C50365"/>
    <w:rsid w:val="31FD6F1A"/>
    <w:rsid w:val="3231309B"/>
    <w:rsid w:val="329B39AC"/>
    <w:rsid w:val="32C76DAD"/>
    <w:rsid w:val="330D16B6"/>
    <w:rsid w:val="35255777"/>
    <w:rsid w:val="35A276A2"/>
    <w:rsid w:val="35DC230E"/>
    <w:rsid w:val="36FF65D2"/>
    <w:rsid w:val="379D30DD"/>
    <w:rsid w:val="37BC6934"/>
    <w:rsid w:val="37C14C9C"/>
    <w:rsid w:val="38286030"/>
    <w:rsid w:val="39E14932"/>
    <w:rsid w:val="39F54979"/>
    <w:rsid w:val="3C651396"/>
    <w:rsid w:val="3C805F5B"/>
    <w:rsid w:val="3D580A96"/>
    <w:rsid w:val="3DDF521B"/>
    <w:rsid w:val="3E771B9A"/>
    <w:rsid w:val="3E9F1943"/>
    <w:rsid w:val="3EE15FEC"/>
    <w:rsid w:val="40761D91"/>
    <w:rsid w:val="40946A32"/>
    <w:rsid w:val="4159227D"/>
    <w:rsid w:val="4173021D"/>
    <w:rsid w:val="417304FF"/>
    <w:rsid w:val="4206226E"/>
    <w:rsid w:val="421561F4"/>
    <w:rsid w:val="429369FA"/>
    <w:rsid w:val="429B6C7E"/>
    <w:rsid w:val="42A46749"/>
    <w:rsid w:val="43087925"/>
    <w:rsid w:val="44B34426"/>
    <w:rsid w:val="45441D31"/>
    <w:rsid w:val="45A44696"/>
    <w:rsid w:val="45A47F21"/>
    <w:rsid w:val="465F7E38"/>
    <w:rsid w:val="46A7506F"/>
    <w:rsid w:val="46FB5EFC"/>
    <w:rsid w:val="47530466"/>
    <w:rsid w:val="47694416"/>
    <w:rsid w:val="4797065E"/>
    <w:rsid w:val="47A26247"/>
    <w:rsid w:val="480A5366"/>
    <w:rsid w:val="48217E1C"/>
    <w:rsid w:val="48DF3B65"/>
    <w:rsid w:val="49397E85"/>
    <w:rsid w:val="49980162"/>
    <w:rsid w:val="4A3D59AA"/>
    <w:rsid w:val="4A6F3E44"/>
    <w:rsid w:val="4B2B7CED"/>
    <w:rsid w:val="4B4201AD"/>
    <w:rsid w:val="4B780DF4"/>
    <w:rsid w:val="4C806A20"/>
    <w:rsid w:val="4EAC1DA1"/>
    <w:rsid w:val="4FB73DF3"/>
    <w:rsid w:val="502F768C"/>
    <w:rsid w:val="503E78AF"/>
    <w:rsid w:val="50A14199"/>
    <w:rsid w:val="50C50A51"/>
    <w:rsid w:val="50F27B37"/>
    <w:rsid w:val="51131AAA"/>
    <w:rsid w:val="51190793"/>
    <w:rsid w:val="51A8393E"/>
    <w:rsid w:val="51B3214C"/>
    <w:rsid w:val="51BB6B96"/>
    <w:rsid w:val="51D17C91"/>
    <w:rsid w:val="5293407D"/>
    <w:rsid w:val="52AD0101"/>
    <w:rsid w:val="533D21FC"/>
    <w:rsid w:val="53B84397"/>
    <w:rsid w:val="550F3CDA"/>
    <w:rsid w:val="561F53EB"/>
    <w:rsid w:val="562670E1"/>
    <w:rsid w:val="5634552B"/>
    <w:rsid w:val="566624C3"/>
    <w:rsid w:val="575C7738"/>
    <w:rsid w:val="57992C64"/>
    <w:rsid w:val="57D25B45"/>
    <w:rsid w:val="583B3AD5"/>
    <w:rsid w:val="58B14348"/>
    <w:rsid w:val="58BD6292"/>
    <w:rsid w:val="598A29C5"/>
    <w:rsid w:val="5AF52AFD"/>
    <w:rsid w:val="5CA0384F"/>
    <w:rsid w:val="5CE31D9B"/>
    <w:rsid w:val="5D107F86"/>
    <w:rsid w:val="5D3463B4"/>
    <w:rsid w:val="5D73439C"/>
    <w:rsid w:val="5DC16948"/>
    <w:rsid w:val="5DCD2A46"/>
    <w:rsid w:val="5E571404"/>
    <w:rsid w:val="5E5D3770"/>
    <w:rsid w:val="5E8D0860"/>
    <w:rsid w:val="5F086093"/>
    <w:rsid w:val="6046523E"/>
    <w:rsid w:val="608C2617"/>
    <w:rsid w:val="61251911"/>
    <w:rsid w:val="613269A7"/>
    <w:rsid w:val="614A157C"/>
    <w:rsid w:val="61B654C2"/>
    <w:rsid w:val="61DB42F5"/>
    <w:rsid w:val="620716C8"/>
    <w:rsid w:val="625E770E"/>
    <w:rsid w:val="626768E9"/>
    <w:rsid w:val="62A6320D"/>
    <w:rsid w:val="62F65B14"/>
    <w:rsid w:val="63382972"/>
    <w:rsid w:val="63935193"/>
    <w:rsid w:val="63BD2B73"/>
    <w:rsid w:val="63C956BE"/>
    <w:rsid w:val="64104752"/>
    <w:rsid w:val="64235207"/>
    <w:rsid w:val="643432A0"/>
    <w:rsid w:val="64372A39"/>
    <w:rsid w:val="65B7697B"/>
    <w:rsid w:val="67AD61E1"/>
    <w:rsid w:val="683529D0"/>
    <w:rsid w:val="68BE3A1E"/>
    <w:rsid w:val="696230BC"/>
    <w:rsid w:val="6963602E"/>
    <w:rsid w:val="698221DF"/>
    <w:rsid w:val="69B21710"/>
    <w:rsid w:val="69BC4A3A"/>
    <w:rsid w:val="69CC3D71"/>
    <w:rsid w:val="6A39506A"/>
    <w:rsid w:val="6A7A2E51"/>
    <w:rsid w:val="6B2148E8"/>
    <w:rsid w:val="6B4A0114"/>
    <w:rsid w:val="6B635B83"/>
    <w:rsid w:val="6BD36E6E"/>
    <w:rsid w:val="6BD46A81"/>
    <w:rsid w:val="6C107DE9"/>
    <w:rsid w:val="6C372864"/>
    <w:rsid w:val="6C4D187C"/>
    <w:rsid w:val="6C6E4EC5"/>
    <w:rsid w:val="6D366F1B"/>
    <w:rsid w:val="6D63662F"/>
    <w:rsid w:val="6D9D1A40"/>
    <w:rsid w:val="6DB45269"/>
    <w:rsid w:val="6DF84454"/>
    <w:rsid w:val="6E725A7D"/>
    <w:rsid w:val="6EFF0150"/>
    <w:rsid w:val="6F953E2B"/>
    <w:rsid w:val="6FFA0C85"/>
    <w:rsid w:val="70112BFD"/>
    <w:rsid w:val="7095692D"/>
    <w:rsid w:val="70A969DF"/>
    <w:rsid w:val="713D395B"/>
    <w:rsid w:val="71FB137D"/>
    <w:rsid w:val="72C21736"/>
    <w:rsid w:val="733123BE"/>
    <w:rsid w:val="73D905D5"/>
    <w:rsid w:val="7463355B"/>
    <w:rsid w:val="75724EFC"/>
    <w:rsid w:val="75B64B72"/>
    <w:rsid w:val="760710DD"/>
    <w:rsid w:val="760E434D"/>
    <w:rsid w:val="767C1FF1"/>
    <w:rsid w:val="767F5CD2"/>
    <w:rsid w:val="76931957"/>
    <w:rsid w:val="76DD1230"/>
    <w:rsid w:val="76EA19B4"/>
    <w:rsid w:val="777C19A6"/>
    <w:rsid w:val="77D6672A"/>
    <w:rsid w:val="799B6FF5"/>
    <w:rsid w:val="79AE4216"/>
    <w:rsid w:val="79E8328E"/>
    <w:rsid w:val="79FF037D"/>
    <w:rsid w:val="7B0D6C06"/>
    <w:rsid w:val="7BB86B24"/>
    <w:rsid w:val="7BDD601E"/>
    <w:rsid w:val="7D5C6E2C"/>
    <w:rsid w:val="7D7C15E4"/>
    <w:rsid w:val="7DC56AE7"/>
    <w:rsid w:val="7DD309BD"/>
    <w:rsid w:val="7DFA47BA"/>
    <w:rsid w:val="7E3F366A"/>
    <w:rsid w:val="7E4935E9"/>
    <w:rsid w:val="7EE101CF"/>
    <w:rsid w:val="7F3146FA"/>
    <w:rsid w:val="7F472946"/>
    <w:rsid w:val="7FE319FC"/>
    <w:rsid w:val="F76DD52D"/>
    <w:rsid w:val="FDBFB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61"/>
    <w:basedOn w:val="7"/>
    <w:uiPriority w:val="0"/>
    <w:rPr>
      <w:rFonts w:hint="eastAsia" w:ascii="微软雅黑 Light" w:hAnsi="微软雅黑 Light" w:eastAsia="微软雅黑 Light" w:cs="微软雅黑 Light"/>
      <w:b/>
      <w:color w:val="000000"/>
      <w:sz w:val="32"/>
      <w:szCs w:val="32"/>
      <w:u w:val="single"/>
    </w:rPr>
  </w:style>
  <w:style w:type="character" w:customStyle="1" w:styleId="9">
    <w:name w:val="font12"/>
    <w:basedOn w:val="7"/>
    <w:qFormat/>
    <w:uiPriority w:val="0"/>
    <w:rPr>
      <w:rFonts w:hint="eastAsia" w:ascii="微软雅黑 Light" w:hAnsi="微软雅黑 Light" w:eastAsia="微软雅黑 Light" w:cs="微软雅黑 Light"/>
      <w:b/>
      <w:color w:val="000000"/>
      <w:sz w:val="32"/>
      <w:szCs w:val="32"/>
      <w:u w:val="none"/>
    </w:rPr>
  </w:style>
  <w:style w:type="character" w:customStyle="1" w:styleId="10">
    <w:name w:val="font51"/>
    <w:basedOn w:val="7"/>
    <w:uiPriority w:val="0"/>
    <w:rPr>
      <w:rFonts w:hint="eastAsia" w:ascii="微软雅黑 Light" w:hAnsi="微软雅黑 Light" w:eastAsia="微软雅黑 Light" w:cs="微软雅黑 Light"/>
      <w:color w:val="FF0000"/>
      <w:sz w:val="20"/>
      <w:szCs w:val="20"/>
      <w:u w:val="none"/>
    </w:rPr>
  </w:style>
  <w:style w:type="character" w:customStyle="1" w:styleId="11">
    <w:name w:val="font41"/>
    <w:basedOn w:val="7"/>
    <w:qFormat/>
    <w:uiPriority w:val="0"/>
    <w:rPr>
      <w:rFonts w:hint="eastAsia" w:ascii="微软雅黑 Light" w:hAnsi="微软雅黑 Light" w:eastAsia="微软雅黑 Light" w:cs="微软雅黑 Light"/>
      <w:color w:val="000000"/>
      <w:sz w:val="20"/>
      <w:szCs w:val="20"/>
      <w:u w:val="single"/>
    </w:rPr>
  </w:style>
  <w:style w:type="character" w:customStyle="1" w:styleId="12">
    <w:name w:val="font91"/>
    <w:basedOn w:val="7"/>
    <w:uiPriority w:val="0"/>
    <w:rPr>
      <w:rFonts w:hint="eastAsia" w:ascii="微软雅黑 Light" w:hAnsi="微软雅黑 Light" w:eastAsia="微软雅黑 Light" w:cs="微软雅黑 Light"/>
      <w:color w:val="000000"/>
      <w:sz w:val="20"/>
      <w:szCs w:val="20"/>
      <w:u w:val="none"/>
    </w:rPr>
  </w:style>
  <w:style w:type="character" w:customStyle="1" w:styleId="13">
    <w:name w:val="font111"/>
    <w:basedOn w:val="7"/>
    <w:qFormat/>
    <w:uiPriority w:val="0"/>
    <w:rPr>
      <w:rFonts w:hint="eastAsia" w:ascii="微软雅黑 Light" w:hAnsi="微软雅黑 Light" w:eastAsia="微软雅黑 Light" w:cs="微软雅黑 Light"/>
      <w:b/>
      <w:color w:val="000000"/>
      <w:sz w:val="20"/>
      <w:szCs w:val="20"/>
      <w:u w:val="none"/>
    </w:rPr>
  </w:style>
  <w:style w:type="character" w:customStyle="1" w:styleId="14">
    <w:name w:val="font11"/>
    <w:basedOn w:val="7"/>
    <w:uiPriority w:val="0"/>
    <w:rPr>
      <w:rFonts w:hint="eastAsia" w:ascii="微软雅黑 Light" w:hAnsi="微软雅黑 Light" w:eastAsia="微软雅黑 Light" w:cs="微软雅黑 Light"/>
      <w:b/>
      <w:color w:val="000000"/>
      <w:sz w:val="32"/>
      <w:szCs w:val="32"/>
      <w:u w:val="none"/>
    </w:rPr>
  </w:style>
  <w:style w:type="character" w:customStyle="1" w:styleId="15">
    <w:name w:val="font112"/>
    <w:basedOn w:val="7"/>
    <w:uiPriority w:val="0"/>
    <w:rPr>
      <w:rFonts w:hint="eastAsia" w:ascii="微软雅黑 Light" w:hAnsi="微软雅黑 Light" w:eastAsia="微软雅黑 Light" w:cs="微软雅黑 Light"/>
      <w:b/>
      <w:color w:val="000000"/>
      <w:sz w:val="20"/>
      <w:szCs w:val="20"/>
      <w:u w:val="none"/>
    </w:rPr>
  </w:style>
  <w:style w:type="character" w:customStyle="1" w:styleId="16">
    <w:name w:val="font71"/>
    <w:basedOn w:val="7"/>
    <w:uiPriority w:val="0"/>
    <w:rPr>
      <w:rFonts w:hint="eastAsia" w:ascii="微软雅黑 Light" w:hAnsi="微软雅黑 Light" w:eastAsia="微软雅黑 Light" w:cs="微软雅黑 Light"/>
      <w:b/>
      <w:color w:val="000000"/>
      <w:sz w:val="32"/>
      <w:szCs w:val="32"/>
      <w:u w:val="single"/>
    </w:rPr>
  </w:style>
  <w:style w:type="character" w:customStyle="1" w:styleId="17">
    <w:name w:val="font01"/>
    <w:basedOn w:val="7"/>
    <w:uiPriority w:val="0"/>
    <w:rPr>
      <w:rFonts w:hint="eastAsia" w:ascii="微软雅黑 Light" w:hAnsi="微软雅黑 Light" w:eastAsia="微软雅黑 Light" w:cs="微软雅黑 Light"/>
      <w:color w:val="000000"/>
      <w:sz w:val="20"/>
      <w:szCs w:val="20"/>
      <w:u w:val="single"/>
    </w:rPr>
  </w:style>
  <w:style w:type="character" w:customStyle="1" w:styleId="18">
    <w:name w:val="font21"/>
    <w:basedOn w:val="7"/>
    <w:uiPriority w:val="0"/>
    <w:rPr>
      <w:rFonts w:hint="eastAsia" w:ascii="微软雅黑 Light" w:hAnsi="微软雅黑 Light" w:eastAsia="微软雅黑 Light" w:cs="微软雅黑 Light"/>
      <w:b/>
      <w:color w:val="000000"/>
      <w:sz w:val="20"/>
      <w:szCs w:val="20"/>
      <w:u w:val="none"/>
    </w:rPr>
  </w:style>
  <w:style w:type="character" w:customStyle="1" w:styleId="19">
    <w:name w:val="font101"/>
    <w:basedOn w:val="7"/>
    <w:qFormat/>
    <w:uiPriority w:val="0"/>
    <w:rPr>
      <w:rFonts w:hint="eastAsia" w:ascii="微软雅黑 Light" w:hAnsi="微软雅黑 Light" w:eastAsia="微软雅黑 Light" w:cs="微软雅黑 Light"/>
      <w:color w:val="FF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2020-07-09T15:02:00Z</dcterms:created>
  <dc:creator>王娟</dc:creator>
  <cp:lastModifiedBy>唐豆豆</cp:lastModifiedBy>
  <dcterms:modified xsi:type="dcterms:W3CDTF">2020-11-16T03:11:54Z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