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0" w:wrap="auto" w:vAnchor="margin" w:hAnchor="text" w:yAlign="inline"/>
        <w:jc w:val="center"/>
        <w:rPr>
          <w:rFonts w:ascii="宋体" w:hAnsi="宋体" w:eastAsia="宋体" w:cs="宋体"/>
          <w:sz w:val="32"/>
          <w:szCs w:val="32"/>
          <w:lang w:val="zh-TW" w:eastAsia="zh-TW"/>
        </w:rPr>
      </w:pPr>
      <w:r>
        <w:rPr>
          <w:rFonts w:ascii="宋体" w:hAnsi="宋体" w:eastAsia="宋体" w:cs="宋体"/>
          <w:sz w:val="32"/>
          <w:szCs w:val="32"/>
          <w:rtl w:val="0"/>
          <w:lang w:val="zh-TW" w:eastAsia="zh-TW"/>
        </w:rPr>
        <w:t>税务监管平台需求概述</w:t>
      </w:r>
    </w:p>
    <w:p>
      <w:pPr>
        <w:pStyle w:val="8"/>
        <w:framePr w:w="0" w:wrap="auto" w:vAnchor="margin" w:hAnchor="text" w:yAlign="inline"/>
        <w:numPr>
          <w:ilvl w:val="0"/>
          <w:numId w:val="1"/>
        </w:numPr>
        <w:bidi w:val="0"/>
        <w:spacing w:line="480" w:lineRule="auto"/>
        <w:ind w:right="0"/>
        <w:jc w:val="left"/>
        <w:rPr>
          <w:rFonts w:hint="eastAsia" w:eastAsia="Times New Roman"/>
          <w:b/>
          <w:bCs/>
          <w:sz w:val="24"/>
          <w:szCs w:val="24"/>
          <w:rtl w:val="0"/>
          <w:lang w:val="zh-TW" w:eastAsia="zh-TW"/>
        </w:rPr>
      </w:pPr>
      <w:r>
        <w:rPr>
          <w:rFonts w:hint="eastAsia" w:ascii="宋体" w:hAnsi="宋体" w:eastAsia="宋体" w:cs="宋体"/>
          <w:b/>
          <w:bCs/>
          <w:sz w:val="24"/>
          <w:szCs w:val="24"/>
          <w:rtl w:val="0"/>
          <w:lang w:val="zh-TW" w:eastAsia="zh-TW"/>
        </w:rPr>
        <w:t>平台能力</w:t>
      </w:r>
    </w:p>
    <w:p>
      <w:pPr>
        <w:pStyle w:val="8"/>
        <w:framePr w:w="0" w:wrap="auto" w:vAnchor="margin" w:hAnchor="text" w:yAlign="inline"/>
        <w:numPr>
          <w:ilvl w:val="1"/>
          <w:numId w:val="1"/>
        </w:numPr>
        <w:bidi w:val="0"/>
        <w:spacing w:line="480" w:lineRule="auto"/>
        <w:ind w:right="0"/>
        <w:jc w:val="left"/>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接收上报数据能力</w:t>
      </w:r>
    </w:p>
    <w:p>
      <w:pPr>
        <w:framePr w:w="0" w:wrap="auto" w:vAnchor="margin" w:hAnchor="text" w:yAlign="inline"/>
        <w:spacing w:line="480" w:lineRule="auto"/>
        <w:ind w:firstLine="420"/>
        <w:jc w:val="left"/>
        <w:rPr>
          <w:rFonts w:ascii="Times New Roman" w:hAnsi="Times New Roman" w:eastAsia="Times New Roman" w:cs="Times New Roman"/>
          <w:sz w:val="24"/>
          <w:szCs w:val="24"/>
          <w:lang w:val="zh-TW" w:eastAsia="zh-TW"/>
        </w:rPr>
      </w:pPr>
      <w:r>
        <w:rPr>
          <w:rFonts w:ascii="宋体" w:hAnsi="宋体" w:eastAsia="宋体" w:cs="宋体"/>
          <w:sz w:val="24"/>
          <w:szCs w:val="24"/>
          <w:rtl w:val="0"/>
          <w:lang w:val="zh-TW" w:eastAsia="zh-TW"/>
        </w:rPr>
        <w:t>无车承运企业需向税务监管平台上报的数据类别包括：合同信息、运单信息及开票信息。税务监管平台以上报的数据进行风险识别与风险预警。无车承运企业所上报数据时机原则上要求实时上报。</w:t>
      </w:r>
    </w:p>
    <w:p>
      <w:pPr>
        <w:pStyle w:val="8"/>
        <w:framePr w:w="0" w:wrap="auto" w:vAnchor="margin" w:hAnchor="text" w:yAlign="inline"/>
        <w:numPr>
          <w:ilvl w:val="1"/>
          <w:numId w:val="2"/>
        </w:numPr>
        <w:bidi w:val="0"/>
        <w:spacing w:line="480" w:lineRule="auto"/>
        <w:ind w:right="0"/>
        <w:jc w:val="left"/>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车辆定位能力</w:t>
      </w:r>
    </w:p>
    <w:p>
      <w:pPr>
        <w:framePr w:w="0" w:wrap="auto" w:vAnchor="margin" w:hAnchor="text" w:yAlign="inline"/>
        <w:spacing w:line="480" w:lineRule="auto"/>
        <w:ind w:firstLine="420"/>
        <w:jc w:val="left"/>
        <w:rPr>
          <w:rFonts w:ascii="Times New Roman" w:hAnsi="Times New Roman" w:eastAsia="Times New Roman" w:cs="Times New Roman"/>
          <w:sz w:val="24"/>
          <w:szCs w:val="24"/>
          <w:lang w:val="zh-TW" w:eastAsia="zh-TW"/>
        </w:rPr>
      </w:pPr>
      <w:r>
        <w:rPr>
          <w:rFonts w:ascii="宋体" w:hAnsi="宋体" w:eastAsia="宋体" w:cs="宋体"/>
          <w:sz w:val="24"/>
          <w:szCs w:val="24"/>
          <w:rtl w:val="0"/>
          <w:lang w:val="zh-TW" w:eastAsia="zh-TW"/>
        </w:rPr>
        <w:t>税务监管平台须有车辆定位、轨迹获取能力，从而不依赖无车承运企业的车辆轨迹上报，平台自身车辆定位能力作为运单真实性核查的重点指标。</w:t>
      </w:r>
    </w:p>
    <w:p>
      <w:pPr>
        <w:pStyle w:val="8"/>
        <w:framePr w:w="0" w:wrap="auto" w:vAnchor="margin" w:hAnchor="text" w:yAlign="inline"/>
        <w:numPr>
          <w:ilvl w:val="0"/>
          <w:numId w:val="1"/>
        </w:numPr>
        <w:bidi w:val="0"/>
        <w:spacing w:line="480" w:lineRule="auto"/>
        <w:ind w:right="0"/>
        <w:jc w:val="left"/>
        <w:rPr>
          <w:rFonts w:hint="eastAsia" w:eastAsia="Times New Roman"/>
          <w:b/>
          <w:bCs/>
          <w:sz w:val="24"/>
          <w:szCs w:val="24"/>
          <w:rtl w:val="0"/>
          <w:lang w:val="zh-TW" w:eastAsia="zh-TW"/>
        </w:rPr>
      </w:pPr>
      <w:r>
        <w:rPr>
          <w:rFonts w:hint="eastAsia" w:ascii="宋体" w:hAnsi="宋体" w:eastAsia="宋体" w:cs="宋体"/>
          <w:b/>
          <w:bCs/>
          <w:sz w:val="24"/>
          <w:szCs w:val="24"/>
          <w:rtl w:val="0"/>
          <w:lang w:val="zh-TW" w:eastAsia="zh-TW"/>
        </w:rPr>
        <w:t>税票风险识别</w:t>
      </w:r>
    </w:p>
    <w:p>
      <w:pPr>
        <w:framePr w:w="0" w:wrap="auto" w:vAnchor="margin" w:hAnchor="text" w:yAlign="inline"/>
        <w:spacing w:line="480" w:lineRule="auto"/>
        <w:ind w:firstLine="420"/>
        <w:jc w:val="left"/>
        <w:rPr>
          <w:rFonts w:ascii="Times New Roman" w:hAnsi="Times New Roman" w:eastAsia="Times New Roman" w:cs="Times New Roman"/>
          <w:sz w:val="24"/>
          <w:szCs w:val="24"/>
          <w:lang w:val="zh-TW" w:eastAsia="zh-TW"/>
        </w:rPr>
      </w:pPr>
      <w:r>
        <w:rPr>
          <w:rFonts w:ascii="宋体" w:hAnsi="宋体" w:eastAsia="宋体" w:cs="宋体"/>
          <w:sz w:val="24"/>
          <w:szCs w:val="24"/>
          <w:rtl w:val="0"/>
          <w:lang w:val="zh-TW" w:eastAsia="zh-TW"/>
        </w:rPr>
        <w:t>税务监管平台能够对无车承运企业上报的数据存在的税票风险进行识别与预警。</w:t>
      </w:r>
    </w:p>
    <w:p>
      <w:pPr>
        <w:pStyle w:val="8"/>
        <w:framePr w:w="0" w:wrap="auto" w:vAnchor="margin" w:hAnchor="text" w:yAlign="inline"/>
        <w:numPr>
          <w:ilvl w:val="1"/>
          <w:numId w:val="2"/>
        </w:numPr>
        <w:bidi w:val="0"/>
        <w:spacing w:line="480" w:lineRule="auto"/>
        <w:ind w:right="0"/>
        <w:jc w:val="left"/>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合同识别</w:t>
      </w:r>
    </w:p>
    <w:p>
      <w:pPr>
        <w:framePr w:w="0" w:wrap="auto" w:vAnchor="margin" w:hAnchor="text" w:yAlign="inline"/>
        <w:spacing w:line="480" w:lineRule="auto"/>
        <w:ind w:firstLine="420"/>
        <w:rPr>
          <w:rFonts w:ascii="Times New Roman" w:hAnsi="Times New Roman" w:eastAsia="Times New Roman" w:cs="Times New Roman"/>
          <w:sz w:val="24"/>
          <w:szCs w:val="24"/>
          <w:lang w:val="zh-TW" w:eastAsia="zh-TW"/>
        </w:rPr>
      </w:pPr>
      <w:r>
        <w:rPr>
          <w:rFonts w:ascii="宋体" w:hAnsi="宋体" w:eastAsia="宋体" w:cs="宋体"/>
          <w:sz w:val="24"/>
          <w:szCs w:val="24"/>
          <w:rtl w:val="0"/>
          <w:lang w:val="zh-TW" w:eastAsia="zh-TW"/>
        </w:rPr>
        <w:t>合同是指无车承运企业与客户（货主）签订的承运合同，以签订合同的甲方作为出票的受票方，同时对合同下产生运单以及运单所产生的出票情况进行税务风险分析。</w:t>
      </w:r>
    </w:p>
    <w:p>
      <w:pPr>
        <w:pStyle w:val="8"/>
        <w:framePr w:w="0" w:wrap="auto" w:vAnchor="margin" w:hAnchor="text" w:yAlign="inline"/>
        <w:numPr>
          <w:ilvl w:val="1"/>
          <w:numId w:val="2"/>
        </w:numPr>
        <w:bidi w:val="0"/>
        <w:spacing w:line="480" w:lineRule="auto"/>
        <w:ind w:right="0"/>
        <w:jc w:val="left"/>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运单识别</w:t>
      </w:r>
    </w:p>
    <w:p>
      <w:pPr>
        <w:framePr w:w="0" w:wrap="auto" w:vAnchor="margin" w:hAnchor="text" w:yAlign="inline"/>
        <w:spacing w:line="480" w:lineRule="auto"/>
        <w:ind w:firstLine="420"/>
        <w:rPr>
          <w:rFonts w:ascii="Times New Roman" w:hAnsi="Times New Roman" w:eastAsia="Times New Roman" w:cs="Times New Roman"/>
          <w:sz w:val="24"/>
          <w:szCs w:val="24"/>
          <w:lang w:val="zh-TW" w:eastAsia="zh-TW"/>
        </w:rPr>
      </w:pPr>
      <w:r>
        <w:rPr>
          <w:rFonts w:ascii="宋体" w:hAnsi="宋体" w:eastAsia="宋体" w:cs="宋体"/>
          <w:sz w:val="24"/>
          <w:szCs w:val="24"/>
          <w:rtl w:val="0"/>
          <w:lang w:val="zh-TW" w:eastAsia="zh-TW"/>
        </w:rPr>
        <w:t>运单作为无车承运企业业务真实性的有效佐证，需对运单的有效性和真实进行有效的识别。</w:t>
      </w:r>
    </w:p>
    <w:p>
      <w:pPr>
        <w:pStyle w:val="8"/>
        <w:framePr w:w="0" w:wrap="auto" w:vAnchor="margin" w:hAnchor="text" w:yAlign="inline"/>
        <w:numPr>
          <w:ilvl w:val="2"/>
          <w:numId w:val="2"/>
        </w:numPr>
        <w:bidi w:val="0"/>
        <w:spacing w:line="480" w:lineRule="auto"/>
        <w:ind w:right="0"/>
        <w:jc w:val="left"/>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运单资质识别</w:t>
      </w:r>
      <w:r>
        <w:rPr>
          <w:rFonts w:ascii="宋体" w:hAnsi="宋体" w:eastAsia="宋体" w:cs="宋体"/>
          <w:sz w:val="24"/>
          <w:szCs w:val="24"/>
          <w:rtl w:val="0"/>
          <w:lang w:val="zh-CN" w:eastAsia="zh-CN"/>
        </w:rPr>
        <w:t xml:space="preserve"> </w:t>
      </w:r>
    </w:p>
    <w:p>
      <w:pPr>
        <w:framePr w:w="0" w:wrap="auto" w:vAnchor="margin" w:hAnchor="text" w:yAlign="inline"/>
        <w:spacing w:line="480" w:lineRule="auto"/>
        <w:ind w:firstLine="420"/>
        <w:rPr>
          <w:rFonts w:ascii="Times New Roman" w:hAnsi="Times New Roman" w:eastAsia="Times New Roman" w:cs="Times New Roman"/>
          <w:sz w:val="24"/>
          <w:szCs w:val="24"/>
          <w:lang w:val="zh-TW" w:eastAsia="zh-TW"/>
        </w:rPr>
      </w:pPr>
      <w:r>
        <w:rPr>
          <w:rFonts w:ascii="宋体" w:hAnsi="宋体" w:eastAsia="宋体" w:cs="宋体"/>
          <w:sz w:val="24"/>
          <w:szCs w:val="24"/>
          <w:rtl w:val="0"/>
          <w:lang w:val="zh-TW" w:eastAsia="zh-TW"/>
        </w:rPr>
        <w:t>重点对承运司机、承运车辆的资质进行风险识别，对承运司机的驾驶证号、身份证进行有效识别。对承运车辆行驶证，营运证，进行有效性识别。</w:t>
      </w:r>
    </w:p>
    <w:p>
      <w:pPr>
        <w:pStyle w:val="8"/>
        <w:framePr w:w="0" w:wrap="auto" w:vAnchor="margin" w:hAnchor="text" w:yAlign="inline"/>
        <w:numPr>
          <w:ilvl w:val="2"/>
          <w:numId w:val="2"/>
        </w:numPr>
        <w:bidi w:val="0"/>
        <w:spacing w:line="480" w:lineRule="auto"/>
        <w:ind w:right="0"/>
        <w:jc w:val="both"/>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运单真实性识别</w:t>
      </w:r>
    </w:p>
    <w:p>
      <w:pPr>
        <w:framePr w:w="0" w:wrap="auto" w:vAnchor="margin" w:hAnchor="text" w:yAlign="inline"/>
        <w:spacing w:line="480" w:lineRule="auto"/>
        <w:ind w:firstLine="420"/>
        <w:rPr>
          <w:rFonts w:ascii="Times New Roman" w:hAnsi="Times New Roman" w:eastAsia="Times New Roman" w:cs="Times New Roman"/>
          <w:sz w:val="24"/>
          <w:szCs w:val="24"/>
        </w:rPr>
      </w:pPr>
      <w:r>
        <w:rPr>
          <w:rFonts w:ascii="宋体" w:hAnsi="宋体" w:eastAsia="宋体" w:cs="宋体"/>
          <w:sz w:val="24"/>
          <w:szCs w:val="24"/>
          <w:rtl w:val="0"/>
          <w:lang w:val="zh-TW" w:eastAsia="zh-TW"/>
        </w:rPr>
        <w:t>运单真实性依赖于：</w:t>
      </w:r>
      <w:r>
        <w:rPr>
          <w:rFonts w:ascii="Times New Roman" w:hAnsi="Times New Roman"/>
          <w:sz w:val="24"/>
          <w:szCs w:val="24"/>
          <w:rtl w:val="0"/>
          <w:lang w:val="en-US"/>
        </w:rPr>
        <w:t xml:space="preserve">a) </w:t>
      </w:r>
      <w:r>
        <w:rPr>
          <w:rFonts w:ascii="宋体" w:hAnsi="宋体" w:eastAsia="宋体" w:cs="宋体"/>
          <w:sz w:val="24"/>
          <w:szCs w:val="24"/>
          <w:rtl w:val="0"/>
          <w:lang w:val="zh-TW" w:eastAsia="zh-TW"/>
        </w:rPr>
        <w:t>运输过程中车辆产生的定位数据，要求平台具有车辆轨迹原始获取的能力。</w:t>
      </w:r>
      <w:r>
        <w:rPr>
          <w:rFonts w:ascii="Times New Roman" w:hAnsi="Times New Roman"/>
          <w:sz w:val="24"/>
          <w:szCs w:val="24"/>
          <w:rtl w:val="0"/>
          <w:lang w:val="en-US"/>
        </w:rPr>
        <w:t xml:space="preserve">b) </w:t>
      </w:r>
      <w:r>
        <w:rPr>
          <w:rFonts w:ascii="宋体" w:hAnsi="宋体" w:eastAsia="宋体" w:cs="宋体"/>
          <w:sz w:val="24"/>
          <w:szCs w:val="24"/>
          <w:rtl w:val="0"/>
          <w:lang w:val="zh-TW" w:eastAsia="zh-TW"/>
        </w:rPr>
        <w:t>向司机支付信息。</w:t>
      </w:r>
      <w:r>
        <w:rPr>
          <w:rFonts w:ascii="Times New Roman" w:hAnsi="Times New Roman"/>
          <w:sz w:val="24"/>
          <w:szCs w:val="24"/>
          <w:rtl w:val="0"/>
          <w:lang w:val="en-US"/>
        </w:rPr>
        <w:t xml:space="preserve"> </w:t>
      </w:r>
    </w:p>
    <w:p>
      <w:pPr>
        <w:pStyle w:val="8"/>
        <w:framePr w:w="0" w:wrap="auto" w:vAnchor="margin" w:hAnchor="text" w:yAlign="inline"/>
        <w:numPr>
          <w:ilvl w:val="1"/>
          <w:numId w:val="2"/>
        </w:numPr>
        <w:bidi w:val="0"/>
        <w:spacing w:line="480" w:lineRule="auto"/>
        <w:ind w:right="0"/>
        <w:jc w:val="left"/>
        <w:rPr>
          <w:rFonts w:hint="eastAsia" w:eastAsia="Times New Roman"/>
          <w:sz w:val="24"/>
          <w:szCs w:val="24"/>
          <w:rtl w:val="0"/>
          <w:lang w:val="zh-TW" w:eastAsia="zh-TW"/>
        </w:rPr>
      </w:pPr>
      <w:r>
        <w:rPr>
          <w:rFonts w:hint="eastAsia" w:ascii="宋体" w:hAnsi="宋体" w:eastAsia="宋体" w:cs="宋体"/>
          <w:sz w:val="24"/>
          <w:szCs w:val="24"/>
          <w:rtl w:val="0"/>
          <w:lang w:val="zh-TW" w:eastAsia="zh-TW"/>
        </w:rPr>
        <w:t>票务识别</w:t>
      </w:r>
    </w:p>
    <w:p>
      <w:pPr>
        <w:framePr w:w="0" w:wrap="auto" w:vAnchor="margin" w:hAnchor="text" w:yAlign="inline"/>
        <w:spacing w:line="480" w:lineRule="auto"/>
        <w:ind w:firstLine="420"/>
        <w:rPr>
          <w:rFonts w:ascii="Times New Roman" w:hAnsi="Times New Roman" w:eastAsia="Times New Roman" w:cs="Times New Roman"/>
          <w:outline w:val="0"/>
          <w:color w:val="ED7D31"/>
          <w:sz w:val="24"/>
          <w:szCs w:val="24"/>
          <w:lang w:val="zh-TW" w:eastAsia="zh-TW"/>
        </w:rPr>
      </w:pPr>
      <w:r>
        <w:rPr>
          <w:rFonts w:ascii="宋体" w:hAnsi="宋体" w:eastAsia="宋体" w:cs="宋体"/>
          <w:sz w:val="24"/>
          <w:szCs w:val="24"/>
          <w:rtl w:val="0"/>
          <w:lang w:val="zh-TW" w:eastAsia="zh-TW"/>
        </w:rPr>
        <w:t>对无车承运企业开局的税票（票额、票号、受票方）要求存在有效的运单</w:t>
      </w:r>
      <w:r>
        <w:rPr>
          <w:rFonts w:ascii="宋体" w:hAnsi="宋体" w:eastAsia="宋体" w:cs="宋体"/>
          <w:b w:val="0"/>
          <w:bCs w:val="0"/>
          <w:i w:val="0"/>
          <w:iCs w:val="0"/>
          <w:caps w:val="0"/>
          <w:smallCaps w:val="0"/>
          <w:strike w:val="0"/>
          <w:dstrike w:val="0"/>
          <w:outline w:val="0"/>
          <w:emboss w:val="0"/>
          <w:imprint w:val="0"/>
          <w:vanish w:val="0"/>
          <w:sz w:val="24"/>
          <w:szCs w:val="24"/>
          <w:rtl w:val="0"/>
          <w:lang w:val="zh-TW" w:eastAsia="zh-TW"/>
        </w:rPr>
        <w:t>及合同的支撑。对同一受票方单张金额超出的出票限制的，要求对出票票号进行连续性验证。</w:t>
      </w:r>
      <w:r>
        <w:rPr>
          <w:rFonts w:ascii="宋体" w:hAnsi="宋体" w:eastAsia="宋体" w:cs="宋体"/>
          <w:b w:val="0"/>
          <w:bCs w:val="0"/>
          <w:i w:val="0"/>
          <w:iCs w:val="0"/>
          <w:caps w:val="0"/>
          <w:smallCaps w:val="0"/>
          <w:strike w:val="0"/>
          <w:dstrike w:val="0"/>
          <w:outline w:val="0"/>
          <w:emboss w:val="0"/>
          <w:imprint w:val="0"/>
          <w:vanish w:val="0"/>
          <w:sz w:val="24"/>
          <w:szCs w:val="24"/>
          <w:rtl w:val="0"/>
          <w:lang w:val="zh-TW" w:eastAsia="zh-TW"/>
        </w:rPr>
        <w:br w:type="textWrapping"/>
      </w:r>
      <w:r>
        <w:rPr>
          <w:rFonts w:ascii="宋体" w:hAnsi="宋体" w:eastAsia="宋体" w:cs="宋体"/>
          <w:sz w:val="24"/>
          <w:szCs w:val="24"/>
          <w:rtl w:val="0"/>
          <w:lang w:val="zh-CN" w:eastAsia="zh-CN"/>
        </w:rPr>
        <w:t xml:space="preserve">3. </w:t>
      </w:r>
      <w:r>
        <w:rPr>
          <w:rFonts w:hint="eastAsia" w:ascii="Arial Unicode MS" w:hAnsi="Arial Unicode MS" w:eastAsia="Arial Unicode MS" w:cs="Arial Unicode MS"/>
          <w:b w:val="0"/>
          <w:bCs w:val="0"/>
          <w:i w:val="0"/>
          <w:iCs w:val="0"/>
          <w:outline w:val="0"/>
          <w:color w:val="ED7D31"/>
          <w:sz w:val="24"/>
          <w:szCs w:val="24"/>
          <w:rtl w:val="0"/>
          <w:lang w:val="zh-CN" w:eastAsia="zh-CN"/>
        </w:rPr>
        <w:t>基础数据服务</w:t>
      </w:r>
    </w:p>
    <w:p>
      <w:pPr>
        <w:framePr w:w="0" w:wrap="auto" w:vAnchor="margin" w:hAnchor="text" w:yAlign="inline"/>
        <w:spacing w:line="480" w:lineRule="auto"/>
        <w:ind w:firstLine="420"/>
        <w:rPr>
          <w:rFonts w:ascii="Times New Roman" w:hAnsi="Times New Roman" w:eastAsia="Times New Roman" w:cs="Times New Roman"/>
          <w:outline w:val="0"/>
          <w:color w:val="ED7D31"/>
          <w:sz w:val="24"/>
          <w:szCs w:val="24"/>
          <w:lang w:val="zh-TW" w:eastAsia="zh-TW"/>
        </w:rPr>
      </w:pPr>
      <w:r>
        <w:rPr>
          <w:rFonts w:hint="eastAsia" w:ascii="Arial Unicode MS" w:hAnsi="Arial Unicode MS" w:eastAsia="Arial Unicode MS" w:cs="Arial Unicode MS"/>
          <w:b w:val="0"/>
          <w:bCs w:val="0"/>
          <w:i w:val="0"/>
          <w:iCs w:val="0"/>
          <w:outline w:val="0"/>
          <w:color w:val="ED7D31"/>
          <w:sz w:val="24"/>
          <w:szCs w:val="24"/>
          <w:rtl w:val="0"/>
          <w:lang w:val="zh-CN" w:eastAsia="zh-CN"/>
        </w:rPr>
        <w:t>为了保障数据的可靠性，只有统一采购平台的数据源才能左右有效数据进行数据校验</w:t>
      </w:r>
    </w:p>
    <w:p>
      <w:pPr>
        <w:framePr w:w="0" w:wrap="auto" w:vAnchor="margin" w:hAnchor="text" w:yAlign="inline"/>
        <w:spacing w:line="480" w:lineRule="auto"/>
        <w:ind w:firstLine="420"/>
        <w:rPr>
          <w:rFonts w:ascii="Times New Roman" w:hAnsi="Times New Roman" w:eastAsia="Times New Roman" w:cs="Times New Roman"/>
          <w:outline w:val="0"/>
          <w:color w:val="ED7D31"/>
          <w:sz w:val="24"/>
          <w:szCs w:val="24"/>
          <w:lang w:val="zh-TW" w:eastAsia="zh-TW"/>
        </w:rPr>
      </w:pPr>
      <w:r>
        <w:rPr>
          <w:rFonts w:ascii="Times New Roman" w:hAnsi="Times New Roman"/>
          <w:outline w:val="0"/>
          <w:color w:val="ED7D31"/>
          <w:sz w:val="24"/>
          <w:szCs w:val="24"/>
          <w:rtl w:val="0"/>
          <w:lang w:val="zh-CN" w:eastAsia="zh-CN"/>
        </w:rPr>
        <w:t xml:space="preserve">3.1 </w:t>
      </w:r>
      <w:r>
        <w:rPr>
          <w:rFonts w:hint="eastAsia" w:ascii="Arial Unicode MS" w:hAnsi="Arial Unicode MS" w:eastAsia="Arial Unicode MS" w:cs="Arial Unicode MS"/>
          <w:b w:val="0"/>
          <w:bCs w:val="0"/>
          <w:i w:val="0"/>
          <w:iCs w:val="0"/>
          <w:outline w:val="0"/>
          <w:color w:val="ED7D31"/>
          <w:sz w:val="24"/>
          <w:szCs w:val="24"/>
          <w:rtl w:val="0"/>
          <w:lang w:val="zh-CN" w:eastAsia="zh-CN"/>
        </w:rPr>
        <w:t>电子签章接口。接入企业采购电子签章。向监管中心上传合同数据和</w:t>
      </w:r>
      <w:r>
        <w:rPr>
          <w:rFonts w:ascii="Times New Roman" w:hAnsi="Times New Roman"/>
          <w:outline w:val="0"/>
          <w:color w:val="ED7D31"/>
          <w:sz w:val="24"/>
          <w:szCs w:val="24"/>
          <w:rtl w:val="0"/>
          <w:lang w:val="zh-CN" w:eastAsia="zh-CN"/>
        </w:rPr>
        <w:t>PDF</w:t>
      </w:r>
      <w:r>
        <w:rPr>
          <w:rFonts w:hint="eastAsia" w:ascii="Arial Unicode MS" w:hAnsi="Arial Unicode MS" w:eastAsia="Arial Unicode MS" w:cs="Arial Unicode MS"/>
          <w:b w:val="0"/>
          <w:bCs w:val="0"/>
          <w:i w:val="0"/>
          <w:iCs w:val="0"/>
          <w:outline w:val="0"/>
          <w:color w:val="ED7D31"/>
          <w:sz w:val="24"/>
          <w:szCs w:val="24"/>
          <w:rtl w:val="0"/>
          <w:lang w:val="zh-CN" w:eastAsia="zh-CN"/>
        </w:rPr>
        <w:t>合同</w:t>
      </w:r>
    </w:p>
    <w:p>
      <w:pPr>
        <w:framePr w:w="0" w:wrap="auto" w:vAnchor="margin" w:hAnchor="text" w:yAlign="inline"/>
        <w:spacing w:line="480" w:lineRule="auto"/>
        <w:ind w:firstLine="420"/>
        <w:rPr>
          <w:rFonts w:ascii="Times New Roman" w:hAnsi="Times New Roman" w:eastAsia="Times New Roman" w:cs="Times New Roman"/>
          <w:outline w:val="0"/>
          <w:color w:val="ED7D31"/>
          <w:sz w:val="24"/>
          <w:szCs w:val="24"/>
          <w:lang w:val="zh-TW" w:eastAsia="zh-TW"/>
        </w:rPr>
      </w:pPr>
      <w:r>
        <w:rPr>
          <w:rFonts w:ascii="Times New Roman" w:hAnsi="Times New Roman"/>
          <w:outline w:val="0"/>
          <w:color w:val="ED7D31"/>
          <w:sz w:val="24"/>
          <w:szCs w:val="24"/>
          <w:rtl w:val="0"/>
          <w:lang w:val="zh-CN" w:eastAsia="zh-CN"/>
        </w:rPr>
        <w:t xml:space="preserve">3.2  </w:t>
      </w:r>
      <w:r>
        <w:rPr>
          <w:rFonts w:hint="eastAsia" w:ascii="Arial Unicode MS" w:hAnsi="Arial Unicode MS" w:eastAsia="Arial Unicode MS" w:cs="Arial Unicode MS"/>
          <w:b w:val="0"/>
          <w:bCs w:val="0"/>
          <w:i w:val="0"/>
          <w:iCs w:val="0"/>
          <w:outline w:val="0"/>
          <w:color w:val="ED7D31"/>
          <w:sz w:val="24"/>
          <w:szCs w:val="24"/>
          <w:rtl w:val="0"/>
          <w:lang w:val="zh-CN" w:eastAsia="zh-CN"/>
        </w:rPr>
        <w:t>手机定位接口。对于没有北斗定位的车辆，应调用该接口实现授权和定位数据采集。</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sz w:val="24"/>
          <w:szCs w:val="24"/>
          <w:rtl w:val="0"/>
          <w:lang w:val="zh-CN" w:eastAsia="zh-CN"/>
        </w:rPr>
        <w:t xml:space="preserve">3.2.1 </w:t>
      </w:r>
      <w:r>
        <w:rPr>
          <w:rFonts w:hint="eastAsia" w:ascii="Arial Unicode MS" w:hAnsi="Arial Unicode MS" w:eastAsia="Arial Unicode MS" w:cs="Arial Unicode MS"/>
          <w:b w:val="0"/>
          <w:bCs w:val="0"/>
          <w:i w:val="0"/>
          <w:iCs w:val="0"/>
          <w:outline w:val="0"/>
          <w:color w:val="ED7D31"/>
          <w:rtl w:val="0"/>
          <w:lang w:val="zh-CN" w:eastAsia="zh-CN"/>
        </w:rPr>
        <w:t>手机定位授权接口</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3.2.2</w:t>
      </w:r>
      <w:r>
        <w:rPr>
          <w:rFonts w:hint="eastAsia" w:ascii="Arial Unicode MS" w:hAnsi="Arial Unicode MS" w:eastAsia="Arial Unicode MS" w:cs="Arial Unicode MS"/>
          <w:b w:val="0"/>
          <w:bCs w:val="0"/>
          <w:i w:val="0"/>
          <w:iCs w:val="0"/>
          <w:outline w:val="0"/>
          <w:color w:val="ED7D31"/>
          <w:rtl w:val="0"/>
          <w:lang w:val="zh-CN" w:eastAsia="zh-CN"/>
        </w:rPr>
        <w:t>手机定位授权开通查询接口</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3.2.3 </w:t>
      </w:r>
      <w:r>
        <w:rPr>
          <w:rFonts w:hint="eastAsia" w:ascii="Arial Unicode MS" w:hAnsi="Arial Unicode MS" w:eastAsia="Arial Unicode MS" w:cs="Arial Unicode MS"/>
          <w:b w:val="0"/>
          <w:bCs w:val="0"/>
          <w:i w:val="0"/>
          <w:iCs w:val="0"/>
          <w:outline w:val="0"/>
          <w:color w:val="ED7D31"/>
          <w:rtl w:val="0"/>
          <w:lang w:val="zh-CN" w:eastAsia="zh-CN"/>
        </w:rPr>
        <w:t>位置获取接口</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3.3.4 </w:t>
      </w:r>
      <w:r>
        <w:rPr>
          <w:rFonts w:hint="eastAsia" w:ascii="Arial Unicode MS" w:hAnsi="Arial Unicode MS" w:eastAsia="Arial Unicode MS" w:cs="Arial Unicode MS"/>
          <w:b w:val="0"/>
          <w:bCs w:val="0"/>
          <w:i w:val="0"/>
          <w:iCs w:val="0"/>
          <w:outline w:val="0"/>
          <w:color w:val="ED7D31"/>
          <w:rtl w:val="0"/>
          <w:lang w:val="zh-CN" w:eastAsia="zh-CN"/>
        </w:rPr>
        <w:t>运单轨迹列表查询接口</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3.3 </w:t>
      </w:r>
      <w:r>
        <w:rPr>
          <w:rFonts w:hint="eastAsia" w:ascii="Arial Unicode MS" w:hAnsi="Arial Unicode MS" w:eastAsia="Arial Unicode MS" w:cs="Arial Unicode MS"/>
          <w:b w:val="0"/>
          <w:bCs w:val="0"/>
          <w:i w:val="0"/>
          <w:iCs w:val="0"/>
          <w:outline w:val="0"/>
          <w:color w:val="ED7D31"/>
          <w:rtl w:val="0"/>
          <w:lang w:val="zh-CN" w:eastAsia="zh-CN"/>
        </w:rPr>
        <w:t>支付通道。为了确保企业上传的资金流水单的真实性，向企业提供支付通道。企业的运费支付从管控平台统一处理。解决办法。为每个企业独立开户，</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3.4 </w:t>
      </w:r>
      <w:r>
        <w:rPr>
          <w:rFonts w:hint="eastAsia" w:ascii="Arial Unicode MS" w:hAnsi="Arial Unicode MS" w:eastAsia="Arial Unicode MS" w:cs="Arial Unicode MS"/>
          <w:b w:val="0"/>
          <w:bCs w:val="0"/>
          <w:i w:val="0"/>
          <w:iCs w:val="0"/>
          <w:outline w:val="0"/>
          <w:color w:val="ED7D31"/>
          <w:rtl w:val="0"/>
          <w:lang w:val="zh-CN" w:eastAsia="zh-CN"/>
        </w:rPr>
        <w:t>开票功能。目前业务流和开票流是分离的，不能形成数据互通，也就是企业业务系统发生了</w:t>
      </w:r>
      <w:r>
        <w:rPr>
          <w:rFonts w:ascii="Times New Roman" w:hAnsi="Times New Roman"/>
          <w:outline w:val="0"/>
          <w:color w:val="ED7D31"/>
          <w:rtl w:val="0"/>
          <w:lang w:val="zh-CN" w:eastAsia="zh-CN"/>
        </w:rPr>
        <w:t>100</w:t>
      </w:r>
      <w:r>
        <w:rPr>
          <w:rFonts w:hint="eastAsia" w:ascii="Arial Unicode MS" w:hAnsi="Arial Unicode MS" w:eastAsia="Arial Unicode MS" w:cs="Arial Unicode MS"/>
          <w:b w:val="0"/>
          <w:bCs w:val="0"/>
          <w:i w:val="0"/>
          <w:iCs w:val="0"/>
          <w:outline w:val="0"/>
          <w:color w:val="ED7D31"/>
          <w:rtl w:val="0"/>
          <w:lang w:val="zh-CN" w:eastAsia="zh-CN"/>
        </w:rPr>
        <w:t>万的业务，但是可以在税务系统上开出超过</w:t>
      </w:r>
      <w:r>
        <w:rPr>
          <w:rFonts w:ascii="Times New Roman" w:hAnsi="Times New Roman"/>
          <w:outline w:val="0"/>
          <w:color w:val="ED7D31"/>
          <w:rtl w:val="0"/>
          <w:lang w:val="zh-CN" w:eastAsia="zh-CN"/>
        </w:rPr>
        <w:t>100</w:t>
      </w:r>
      <w:r>
        <w:rPr>
          <w:rFonts w:hint="eastAsia" w:ascii="Arial Unicode MS" w:hAnsi="Arial Unicode MS" w:eastAsia="Arial Unicode MS" w:cs="Arial Unicode MS"/>
          <w:b w:val="0"/>
          <w:bCs w:val="0"/>
          <w:i w:val="0"/>
          <w:iCs w:val="0"/>
          <w:outline w:val="0"/>
          <w:color w:val="ED7D31"/>
          <w:rtl w:val="0"/>
          <w:lang w:val="zh-CN" w:eastAsia="zh-CN"/>
        </w:rPr>
        <w:t>万的票。因此，可以托管税控盘的形式，业务系统提交开票申请，系统对接到航信或者百望的开票系统，进行开票</w:t>
      </w:r>
      <w:r>
        <w:rPr>
          <w:rFonts w:ascii="Arial Unicode MS" w:hAnsi="Arial Unicode MS" w:eastAsia="Arial Unicode MS" w:cs="Arial Unicode MS"/>
          <w:b w:val="0"/>
          <w:bCs w:val="0"/>
          <w:i w:val="0"/>
          <w:iCs w:val="0"/>
          <w:outline w:val="0"/>
          <w:color w:val="ED7D31"/>
          <w:lang w:val="zh-TW" w:eastAsia="zh-TW"/>
        </w:rPr>
        <w:br w:type="textWrapping"/>
      </w:r>
      <w:r>
        <w:rPr>
          <w:rFonts w:hint="eastAsia" w:ascii="Arial Unicode MS" w:hAnsi="Arial Unicode MS" w:eastAsia="Arial Unicode MS" w:cs="Arial Unicode MS"/>
          <w:b w:val="0"/>
          <w:bCs w:val="0"/>
          <w:i w:val="0"/>
          <w:iCs w:val="0"/>
          <w:outline w:val="0"/>
          <w:color w:val="ED7D31"/>
          <w:rtl w:val="0"/>
          <w:lang w:val="zh-CN" w:eastAsia="zh-CN"/>
        </w:rPr>
        <w:t>备注：监管的原则在于，数据接口均有偿提供，企业根据需要采购接口（企业本身也要采购）。如果不采购数据接口，那么企业的对应风险级别会更高。</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4</w:t>
      </w:r>
      <w:r>
        <w:rPr>
          <w:rFonts w:hint="eastAsia" w:ascii="Arial Unicode MS" w:hAnsi="Arial Unicode MS" w:eastAsia="Arial Unicode MS" w:cs="Arial Unicode MS"/>
          <w:b w:val="0"/>
          <w:bCs w:val="0"/>
          <w:i w:val="0"/>
          <w:iCs w:val="0"/>
          <w:outline w:val="0"/>
          <w:color w:val="ED7D31"/>
          <w:rtl w:val="0"/>
          <w:lang w:val="zh-CN" w:eastAsia="zh-CN"/>
        </w:rPr>
        <w:t>、数据大屏</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4.1 </w:t>
      </w:r>
      <w:r>
        <w:rPr>
          <w:rFonts w:hint="eastAsia" w:ascii="Arial Unicode MS" w:hAnsi="Arial Unicode MS" w:eastAsia="Arial Unicode MS" w:cs="Arial Unicode MS"/>
          <w:b w:val="0"/>
          <w:bCs w:val="0"/>
          <w:i w:val="0"/>
          <w:iCs w:val="0"/>
          <w:outline w:val="0"/>
          <w:color w:val="ED7D31"/>
          <w:rtl w:val="0"/>
          <w:lang w:val="zh-CN" w:eastAsia="zh-CN"/>
        </w:rPr>
        <w:t>针对交通、财务、税务局等监管部门提供多种形式和维护的数据大屏展现，快速和一目了然了解监管企业的业务发展情况和风险预警情况</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4.2 </w:t>
      </w:r>
      <w:r>
        <w:rPr>
          <w:rFonts w:hint="eastAsia" w:ascii="Arial Unicode MS" w:hAnsi="Arial Unicode MS" w:eastAsia="Arial Unicode MS" w:cs="Arial Unicode MS"/>
          <w:b w:val="0"/>
          <w:bCs w:val="0"/>
          <w:i w:val="0"/>
          <w:iCs w:val="0"/>
          <w:outline w:val="0"/>
          <w:color w:val="ED7D31"/>
          <w:rtl w:val="0"/>
          <w:lang w:val="zh-CN" w:eastAsia="zh-CN"/>
        </w:rPr>
        <w:t>管理平台有能力，做不同类型的数据分析。比如做风险级别预警排名，按合同、定位、支付、票据等单一维度做风险排名。</w:t>
      </w:r>
    </w:p>
    <w:p>
      <w:pPr>
        <w:framePr w:w="0" w:wrap="auto" w:vAnchor="margin" w:hAnchor="text" w:yAlign="inline"/>
        <w:spacing w:line="480" w:lineRule="auto"/>
        <w:ind w:firstLine="420"/>
        <w:rPr>
          <w:rFonts w:ascii="Times New Roman" w:hAnsi="Times New Roman" w:eastAsia="Times New Roman" w:cs="Times New Roman"/>
          <w:outline w:val="0"/>
          <w:color w:val="ED7D31"/>
          <w:lang w:val="zh-TW" w:eastAsia="zh-TW"/>
        </w:rPr>
      </w:pPr>
      <w:r>
        <w:rPr>
          <w:rFonts w:ascii="Times New Roman" w:hAnsi="Times New Roman"/>
          <w:outline w:val="0"/>
          <w:color w:val="ED7D31"/>
          <w:rtl w:val="0"/>
          <w:lang w:val="zh-CN" w:eastAsia="zh-CN"/>
        </w:rPr>
        <w:t xml:space="preserve">4.3 </w:t>
      </w:r>
      <w:r>
        <w:rPr>
          <w:rFonts w:hint="eastAsia" w:ascii="Arial Unicode MS" w:hAnsi="Arial Unicode MS" w:eastAsia="Arial Unicode MS" w:cs="Arial Unicode MS"/>
          <w:b w:val="0"/>
          <w:bCs w:val="0"/>
          <w:i w:val="0"/>
          <w:iCs w:val="0"/>
          <w:outline w:val="0"/>
          <w:color w:val="ED7D31"/>
          <w:rtl w:val="0"/>
          <w:lang w:val="zh-CN" w:eastAsia="zh-CN"/>
        </w:rPr>
        <w:t>管理平台有能力做不同类型的数据统计分析。例如：总入网车辆数、成交订单数、交易金额、开票金额、纳税额、承运吨位等等，从实时数据、日、月数据多维度统计分析</w:t>
      </w:r>
    </w:p>
    <w:p>
      <w:pPr>
        <w:framePr w:w="0" w:wrap="auto" w:vAnchor="margin" w:hAnchor="text" w:yAlign="inline"/>
        <w:spacing w:line="480" w:lineRule="auto"/>
        <w:jc w:val="left"/>
        <w:rPr>
          <w:rFonts w:ascii="Times New Roman" w:hAnsi="Times New Roman" w:eastAsia="Times New Roman" w:cs="Times New Roman"/>
          <w:sz w:val="24"/>
          <w:szCs w:val="24"/>
        </w:rPr>
      </w:pPr>
      <w:r>
        <w:rPr>
          <w:rFonts w:ascii="宋体" w:hAnsi="宋体" w:eastAsia="宋体" w:cs="宋体"/>
          <w:sz w:val="24"/>
          <w:szCs w:val="24"/>
          <w:rtl w:val="0"/>
          <w:lang w:val="zh-TW" w:eastAsia="zh-TW"/>
        </w:rPr>
        <w:t>附</w:t>
      </w:r>
      <w:r>
        <w:rPr>
          <w:rFonts w:ascii="Times New Roman" w:hAnsi="Times New Roman"/>
          <w:sz w:val="24"/>
          <w:szCs w:val="24"/>
          <w:rtl w:val="0"/>
          <w:lang w:val="en-US"/>
        </w:rPr>
        <w:t>1</w:t>
      </w:r>
      <w:r>
        <w:rPr>
          <w:rFonts w:ascii="宋体" w:hAnsi="宋体" w:eastAsia="宋体" w:cs="宋体"/>
          <w:sz w:val="24"/>
          <w:szCs w:val="24"/>
          <w:rtl w:val="0"/>
          <w:lang w:val="zh-TW" w:eastAsia="zh-TW"/>
        </w:rPr>
        <w:t>风险项列表</w:t>
      </w:r>
    </w:p>
    <w:tbl>
      <w:tblPr>
        <w:tblStyle w:val="3"/>
        <w:tblW w:w="8378"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10" w:type="dxa"/>
          <w:bottom w:w="0" w:type="dxa"/>
          <w:right w:w="10" w:type="dxa"/>
        </w:tblCellMar>
      </w:tblPr>
      <w:tblGrid>
        <w:gridCol w:w="1275"/>
        <w:gridCol w:w="3953"/>
        <w:gridCol w:w="1576"/>
        <w:gridCol w:w="1574"/>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10" w:type="dxa"/>
            <w:bottom w:w="0" w:type="dxa"/>
            <w:right w:w="10" w:type="dxa"/>
          </w:tblCellMar>
        </w:tblPrEx>
        <w:trPr>
          <w:trHeight w:val="35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监管类别</w:t>
            </w: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风险项</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风险级别</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1030" w:hRule="atLeast"/>
        </w:trPr>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合同</w:t>
            </w: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合同所产生运单运输总量大于合同签订承运量</w:t>
            </w:r>
            <w:r>
              <w:rPr>
                <w:rFonts w:ascii="Times New Roman" w:hAnsi="Times New Roman"/>
                <w:sz w:val="24"/>
                <w:szCs w:val="24"/>
                <w:rtl w:val="0"/>
                <w:lang w:val="en-US"/>
              </w:rPr>
              <w:t>120%</w:t>
            </w:r>
            <w:r>
              <w:rPr>
                <w:rFonts w:hint="eastAsia" w:ascii="宋体" w:hAnsi="宋体" w:eastAsia="宋体" w:cs="宋体"/>
                <w:sz w:val="24"/>
                <w:szCs w:val="24"/>
                <w:rtl w:val="0"/>
                <w:lang w:val="zh-TW" w:eastAsia="zh-TW"/>
              </w:rPr>
              <w:t>。</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中</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最终出票总额大于合同签订金额的</w:t>
            </w:r>
            <w:r>
              <w:rPr>
                <w:rFonts w:ascii="Times New Roman" w:hAnsi="Times New Roman"/>
                <w:sz w:val="24"/>
                <w:szCs w:val="24"/>
                <w:rtl w:val="0"/>
                <w:lang w:val="en-US"/>
              </w:rPr>
              <w:t>120%</w:t>
            </w:r>
            <w:r>
              <w:rPr>
                <w:rFonts w:hint="eastAsia" w:ascii="宋体" w:hAnsi="宋体" w:eastAsia="宋体" w:cs="宋体"/>
                <w:sz w:val="24"/>
                <w:szCs w:val="24"/>
                <w:rtl w:val="0"/>
                <w:lang w:val="zh-TW" w:eastAsia="zh-TW"/>
              </w:rPr>
              <w:t>。</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运单</w:t>
            </w: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承运车辆无定位信息</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left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p>
            <w:pPr>
              <w:framePr w:w="0" w:wrap="auto" w:vAnchor="margin" w:hAnchor="text" w:yAlign="inline"/>
              <w:spacing w:line="480" w:lineRule="auto"/>
              <w:jc w:val="left"/>
              <w:rPr>
                <w:rFonts w:hint="eastAsia" w:ascii="宋体" w:hAnsi="宋体" w:eastAsia="宋体" w:cs="宋体"/>
                <w:sz w:val="24"/>
                <w:szCs w:val="24"/>
                <w:rtl w:val="0"/>
                <w:lang w:val="zh-TW" w:eastAsia="zh-TW"/>
              </w:rPr>
            </w:pPr>
          </w:p>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承运车辆无卫星定位设备，通过手机定位</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中</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承运车辆轨迹出发的、目的地不符合</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103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承运车辆轨迹里程与同一合同下其它运单里程变差明显（</w:t>
            </w:r>
            <w:r>
              <w:rPr>
                <w:rFonts w:ascii="Times New Roman" w:hAnsi="Times New Roman"/>
                <w:sz w:val="24"/>
                <w:szCs w:val="24"/>
                <w:rtl w:val="0"/>
                <w:lang w:val="en-US"/>
              </w:rPr>
              <w:t>&gt;25%</w:t>
            </w:r>
            <w:r>
              <w:rPr>
                <w:rFonts w:hint="eastAsia" w:ascii="宋体" w:hAnsi="宋体" w:eastAsia="宋体" w:cs="宋体"/>
                <w:sz w:val="24"/>
                <w:szCs w:val="24"/>
                <w:rtl w:val="0"/>
                <w:lang w:val="zh-TW" w:eastAsia="zh-TW"/>
              </w:rPr>
              <w:t>）</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中</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000000"/>
                <w:spacing w:val="0"/>
                <w:kern w:val="2"/>
                <w:position w:val="0"/>
                <w:sz w:val="24"/>
                <w:szCs w:val="24"/>
                <w:u w:val="none" w:color="000000"/>
                <w:vertAlign w:val="baseline"/>
                <w:rtl w:val="0"/>
              </w:rPr>
              <w:t>吨公里运费金额不合理</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000000"/>
                <w:spacing w:val="0"/>
                <w:kern w:val="2"/>
                <w:position w:val="0"/>
                <w:sz w:val="24"/>
                <w:szCs w:val="24"/>
                <w:u w:val="none" w:color="000000"/>
                <w:vertAlign w:val="baseline"/>
                <w:rtl w:val="0"/>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Fonts w:hint="eastAsia" w:ascii="等线" w:hAnsi="等线" w:eastAsia="Times New Roman" w:cs="等线"/>
                <w:b w:val="0"/>
                <w:bCs w:val="0"/>
                <w:i w:val="0"/>
                <w:iCs w:val="0"/>
                <w:caps w:val="0"/>
                <w:smallCaps w:val="0"/>
                <w:strike w:val="0"/>
                <w:dstrike w:val="0"/>
                <w:outline w:val="0"/>
                <w:color w:val="000000"/>
                <w:spacing w:val="0"/>
                <w:kern w:val="2"/>
                <w:position w:val="0"/>
                <w:sz w:val="24"/>
                <w:szCs w:val="24"/>
                <w:u w:val="none" w:color="000000"/>
                <w:vertAlign w:val="baseline"/>
                <w:rtl w:val="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BE6427"/>
                <w:spacing w:val="0"/>
                <w:kern w:val="2"/>
                <w:position w:val="0"/>
                <w:sz w:val="24"/>
                <w:szCs w:val="24"/>
                <w:u w:val="none" w:color="000000"/>
                <w:vertAlign w:val="baseline"/>
                <w:rtl w:val="0"/>
              </w:rPr>
              <w:t>资金付款风险比对，付款账户非司机账户</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BE6427"/>
                <w:spacing w:val="0"/>
                <w:kern w:val="2"/>
                <w:position w:val="0"/>
                <w:sz w:val="24"/>
                <w:szCs w:val="24"/>
                <w:u w:val="none" w:color="000000"/>
                <w:vertAlign w:val="baseline"/>
                <w:rtl w:val="0"/>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Fonts w:hint="eastAsia" w:ascii="等线" w:hAnsi="等线" w:eastAsia="Times New Roman" w:cs="等线"/>
                <w:b w:val="0"/>
                <w:bCs w:val="0"/>
                <w:i w:val="0"/>
                <w:iCs w:val="0"/>
                <w:caps w:val="0"/>
                <w:smallCaps w:val="0"/>
                <w:strike w:val="0"/>
                <w:dstrike w:val="0"/>
                <w:outline w:val="0"/>
                <w:color w:val="BE6427"/>
                <w:spacing w:val="0"/>
                <w:kern w:val="2"/>
                <w:position w:val="0"/>
                <w:sz w:val="24"/>
                <w:szCs w:val="24"/>
                <w:u w:val="none" w:color="000000"/>
                <w:vertAlign w:val="baseline"/>
                <w:rtl w:val="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BE6427"/>
                <w:spacing w:val="0"/>
                <w:kern w:val="2"/>
                <w:position w:val="0"/>
                <w:sz w:val="24"/>
                <w:szCs w:val="24"/>
                <w:u w:val="none" w:color="000000"/>
                <w:vertAlign w:val="baseline"/>
                <w:rtl w:val="0"/>
              </w:rPr>
              <w:t>资金付款风险比对，收款人重复收款比例高</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BE6427"/>
                <w:spacing w:val="0"/>
                <w:kern w:val="2"/>
                <w:position w:val="0"/>
                <w:sz w:val="24"/>
                <w:szCs w:val="24"/>
                <w:u w:val="none" w:color="000000"/>
                <w:vertAlign w:val="baseline"/>
                <w:rtl w:val="0"/>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Fonts w:hint="eastAsia" w:ascii="等线" w:hAnsi="等线" w:eastAsia="Times New Roman" w:cs="等线"/>
                <w:b w:val="0"/>
                <w:bCs w:val="0"/>
                <w:i w:val="0"/>
                <w:iCs w:val="0"/>
                <w:caps w:val="0"/>
                <w:smallCaps w:val="0"/>
                <w:strike w:val="0"/>
                <w:dstrike w:val="0"/>
                <w:outline w:val="0"/>
                <w:color w:val="BE6427"/>
                <w:spacing w:val="0"/>
                <w:kern w:val="2"/>
                <w:position w:val="0"/>
                <w:sz w:val="24"/>
                <w:szCs w:val="24"/>
                <w:u w:val="none" w:color="000000"/>
                <w:vertAlign w:val="baseline"/>
                <w:rtl w:val="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承运车辆在同一时间有多个运单</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承运车辆司机在同一时间有多个运单</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承运车辆营运证有效期过期</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承运车辆司机身份证与驾驶证不一致</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承运车辆司机驾驶证有效期过期</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中</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税票</w:t>
            </w: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税票无有效数据支撑（如无运单，无合同）</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r>
              <w:rPr>
                <w:rFonts w:hint="eastAsia" w:ascii="宋体" w:hAnsi="宋体" w:eastAsia="宋体" w:cs="宋体"/>
                <w:sz w:val="24"/>
                <w:szCs w:val="24"/>
                <w:rtl w:val="0"/>
                <w:lang w:val="zh-TW" w:eastAsia="zh-TW"/>
              </w:rPr>
              <w:t>高</w:t>
            </w: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350" w:hRule="atLeast"/>
        </w:trPr>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pP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framePr w:w="0" w:wrap="auto" w:vAnchor="margin" w:hAnchor="text" w:yAlign="inline"/>
              <w:spacing w:line="480" w:lineRule="auto"/>
              <w:jc w:val="left"/>
              <w:rPr>
                <w:rFonts w:hint="eastAsia" w:ascii="宋体" w:hAnsi="宋体" w:eastAsia="宋体" w:cs="宋体"/>
                <w:sz w:val="24"/>
                <w:szCs w:val="24"/>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 w:type="dxa"/>
            <w:bottom w:w="0" w:type="dxa"/>
            <w:right w:w="10" w:type="dxa"/>
          </w:tblCellMar>
        </w:tblPrEx>
        <w:trPr>
          <w:trHeight w:val="1030" w:hRule="atLeast"/>
        </w:trPr>
        <w:tc>
          <w:tcPr>
            <w:tcW w:w="1275" w:type="dxa"/>
            <w:tcBorders>
              <w:top w:val="single" w:color="000000" w:sz="4" w:space="0"/>
              <w:left w:val="single" w:color="000000" w:sz="4" w:space="0"/>
              <w:bottom w:val="nil"/>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ED7D31"/>
                <w:spacing w:val="0"/>
                <w:kern w:val="2"/>
                <w:position w:val="0"/>
                <w:sz w:val="24"/>
                <w:szCs w:val="24"/>
                <w:u w:val="none" w:color="000000"/>
                <w:vertAlign w:val="baseline"/>
                <w:rtl w:val="0"/>
              </w:rPr>
              <w:t>数据展现</w:t>
            </w:r>
          </w:p>
        </w:tc>
        <w:tc>
          <w:tcPr>
            <w:tcW w:w="39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keepNext w:val="0"/>
              <w:keepLines w:val="0"/>
              <w:pageBreakBefore w:val="0"/>
              <w:framePr w:w="0" w:wrap="auto" w:vAnchor="margin" w:hAnchor="text" w:yAlign="inline"/>
              <w:widowControl w:val="0"/>
              <w:shd w:val="clear" w:color="auto" w:fill="auto"/>
              <w:suppressAutoHyphens w:val="0"/>
              <w:bidi w:val="0"/>
              <w:spacing w:before="0" w:after="0" w:line="480" w:lineRule="auto"/>
              <w:ind w:left="0" w:right="0" w:firstLine="0"/>
              <w:jc w:val="left"/>
              <w:outlineLvl w:val="9"/>
              <w:rPr>
                <w:rtl w:val="0"/>
              </w:rPr>
            </w:pPr>
            <w:r>
              <w:rPr>
                <w:rFonts w:hint="eastAsia" w:ascii="等线" w:hAnsi="等线" w:eastAsia="Times New Roman" w:cs="等线"/>
                <w:b w:val="0"/>
                <w:bCs w:val="0"/>
                <w:i w:val="0"/>
                <w:iCs w:val="0"/>
                <w:caps w:val="0"/>
                <w:smallCaps w:val="0"/>
                <w:strike w:val="0"/>
                <w:dstrike w:val="0"/>
                <w:outline w:val="0"/>
                <w:color w:val="ED7D31"/>
                <w:spacing w:val="0"/>
                <w:kern w:val="2"/>
                <w:position w:val="0"/>
                <w:sz w:val="24"/>
                <w:szCs w:val="24"/>
                <w:u w:val="none" w:color="000000"/>
                <w:vertAlign w:val="baseline"/>
                <w:rtl w:val="0"/>
              </w:rPr>
              <w:t>针对交通局、税务局、财务局等的数据分析大屏</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tc>
        <w:tc>
          <w:tcPr>
            <w:tcW w:w="15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tc>
      </w:tr>
    </w:tbl>
    <w:p>
      <w:pPr>
        <w:framePr w:w="0" w:wrap="auto" w:vAnchor="margin" w:hAnchor="text" w:yAlign="inline"/>
        <w:jc w:val="left"/>
      </w:pPr>
    </w:p>
    <w:sectPr>
      <w:headerReference r:id="rId3" w:type="default"/>
      <w:footerReference r:id="rId4" w:type="default"/>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等线">
    <w:panose1 w:val="02010600030101010101"/>
    <w:charset w:val="86"/>
    <w:family w:val="roman"/>
    <w:pitch w:val="default"/>
    <w:sig w:usb0="A00002BF" w:usb1="38CF7CFA" w:usb2="00000016" w:usb3="00000000" w:csb0="0004000F" w:csb1="00000000"/>
  </w:font>
  <w:font w:name="Helvetica Neu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0" w:wrap="auto" w:vAnchor="margin" w:hAnchor="text" w:yAlign="inline"/>
      <w:bidi w:val="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0" w:wrap="auto" w:vAnchor="margin" w:hAnchor="text" w:yAlign="inline"/>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425" w:hanging="425"/>
      </w:pPr>
      <w:rPr>
        <w:rFonts w:hAnsi="Arial Unicode MS"/>
        <w:b/>
        <w:bCs/>
        <w:caps w:val="0"/>
        <w:smallCaps w:val="0"/>
        <w:strike w:val="0"/>
        <w:dstrike w:val="0"/>
        <w:outline w:val="0"/>
        <w:emboss w:val="0"/>
        <w:imprint w:val="0"/>
        <w:spacing w:val="0"/>
        <w:w w:val="100"/>
        <w:kern w:val="0"/>
        <w:position w:val="0"/>
        <w:highlight w:val="none"/>
        <w:vertAlign w:val="baseline"/>
      </w:rPr>
    </w:lvl>
    <w:lvl w:ilvl="1" w:tentative="0">
      <w:start w:val="1"/>
      <w:numFmt w:val="decimal"/>
      <w:lvlText w:val="%1.%2."/>
      <w:lvlJc w:val="left"/>
      <w:pPr>
        <w:ind w:left="420"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1.%2.%3."/>
      <w:lvlJc w:val="left"/>
      <w:pPr>
        <w:ind w:left="426" w:hanging="414"/>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1.%2.%3.%4."/>
      <w:lvlJc w:val="left"/>
      <w:pPr>
        <w:ind w:left="992" w:hanging="141"/>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1.%2.%3.%4.%5."/>
      <w:lvlJc w:val="left"/>
      <w:pPr>
        <w:ind w:left="1559" w:hanging="283"/>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1.%2.%3.%4.%5.%6."/>
      <w:lvlJc w:val="left"/>
      <w:pPr>
        <w:ind w:left="2268" w:hanging="56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1.%2.%3.%4.%5.%6.%7."/>
      <w:lvlJc w:val="left"/>
      <w:pPr>
        <w:ind w:left="2835" w:hanging="709"/>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suff w:val="nothing"/>
      <w:lvlText w:val="%1.%2.%3.%4.%5.%6.%7.%8."/>
      <w:lvlJc w:val="left"/>
      <w:pPr>
        <w:ind w:left="3402" w:hanging="851"/>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suff w:val="nothing"/>
      <w:lvlText w:val="%1.%2.%3.%4.%5.%6.%7.%8.%9."/>
      <w:lvlJc w:val="left"/>
      <w:pPr>
        <w:ind w:left="4110" w:hanging="113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0"/>
    <w:lvlOverride w:ilvl="0">
      <w:lvl w:ilvl="0" w:tentative="1">
        <w:start w:val="1"/>
        <w:numFmt w:val="decimal"/>
        <w:lvlText w:val="%1."/>
        <w:lvlJc w:val="left"/>
        <w:pPr>
          <w:ind w:left="42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entative="1">
        <w:start w:val="1"/>
        <w:numFmt w:val="decimal"/>
        <w:lvlText w:val="%1.%2."/>
        <w:lvlJc w:val="left"/>
        <w:pPr>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entative="1">
        <w:start w:val="1"/>
        <w:numFmt w:val="decimal"/>
        <w:lvlText w:val="%1.%2.%3."/>
        <w:lvlJc w:val="left"/>
        <w:pPr>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entative="1">
        <w:start w:val="1"/>
        <w:numFmt w:val="decimal"/>
        <w:suff w:val="nothing"/>
        <w:lvlText w:val="%1.%2.%3.%4."/>
        <w:lvlJc w:val="left"/>
        <w:pPr>
          <w:ind w:left="1133" w:hanging="70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entative="1">
        <w:start w:val="1"/>
        <w:numFmt w:val="decimal"/>
        <w:suff w:val="nothing"/>
        <w:lvlText w:val="%1.%2.%3.%4.%5."/>
        <w:lvlJc w:val="left"/>
        <w:pPr>
          <w:ind w:left="1700" w:hanging="8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entative="1">
        <w:start w:val="1"/>
        <w:numFmt w:val="decimal"/>
        <w:lvlText w:val="%1.%2.%3.%4.%5.%6."/>
        <w:lvlJc w:val="left"/>
        <w:pPr>
          <w:ind w:left="2409" w:hanging="11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entative="1">
        <w:start w:val="1"/>
        <w:numFmt w:val="decimal"/>
        <w:lvlText w:val="%1.%2.%3.%4.%5.%6.%7."/>
        <w:lvlJc w:val="left"/>
        <w:pPr>
          <w:ind w:left="2976" w:hanging="1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entative="1">
        <w:start w:val="1"/>
        <w:numFmt w:val="decimal"/>
        <w:suff w:val="nothing"/>
        <w:lvlText w:val="%1.%2.%3.%4.%5.%6.%7.%8."/>
        <w:lvlJc w:val="left"/>
        <w:pPr>
          <w:ind w:left="3543" w:hanging="141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entative="1">
        <w:start w:val="1"/>
        <w:numFmt w:val="decimal"/>
        <w:lvlText w:val="%1.%2.%3.%4.%5.%6.%7.%8.%9."/>
        <w:lvlJc w:val="left"/>
        <w:pPr>
          <w:ind w:left="4251" w:hanging="170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val="1"/>
  <w:bordersDoNotSurroundHeader w:val="0"/>
  <w:bordersDoNotSurroundFooter w:val="0"/>
  <w:documentProtection w:enforcement="0"/>
  <w:defaultTabStop w:val="420"/>
  <w:noLineBreaksAfter w:lang="zh-CN" w:val="‘“(〔[{〈《「『【⦅〘〖«〝︵︷︹︻︽︿﹁﹃﹇﹙﹛﹝｢"/>
  <w:noLineBreaksBefore w:lang="zh-CN" w:val="’”)〕]}〉"/>
  <w:compat>
    <w:useFELayout/>
    <w:compatSetting w:name="compatibilityMode" w:uri="http://schemas.microsoft.com/office/word" w:val="15"/>
  </w:compat>
  <w:rsids>
    <w:rsidRoot w:val="00000000"/>
    <w:rsid w:val="3CEC316F"/>
    <w:rsid w:val="425738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w="0"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等线" w:hAnsi="等线" w:eastAsia="等线" w:cs="等线"/>
      <w:color w:val="000000"/>
      <w:spacing w:val="0"/>
      <w:w w:val="100"/>
      <w:kern w:val="2"/>
      <w:position w:val="0"/>
      <w:sz w:val="21"/>
      <w:szCs w:val="21"/>
      <w:u w:val="none" w:color="000000"/>
      <w:vertAlign w:val="baseline"/>
      <w:lang w:val="en-US"/>
    </w:rPr>
  </w:style>
  <w:style w:type="paragraph" w:styleId="2">
    <w:name w:val="heading 1"/>
    <w:next w:val="1"/>
    <w:uiPriority w:val="0"/>
    <w:pPr>
      <w:keepNext/>
      <w:keepLines/>
      <w:pageBreakBefore w:val="0"/>
      <w:framePr w:w="0"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340" w:beforeAutospacing="0" w:after="330" w:afterAutospacing="0" w:line="578" w:lineRule="auto"/>
      <w:ind w:left="0" w:right="0" w:firstLine="0"/>
      <w:jc w:val="both"/>
      <w:outlineLvl w:val="0"/>
    </w:pPr>
    <w:rPr>
      <w:rFonts w:ascii="等线" w:hAnsi="等线" w:eastAsia="等线" w:cs="等线"/>
      <w:b/>
      <w:bCs/>
      <w:color w:val="000000"/>
      <w:spacing w:val="0"/>
      <w:w w:val="100"/>
      <w:kern w:val="44"/>
      <w:position w:val="0"/>
      <w:sz w:val="44"/>
      <w:szCs w:val="44"/>
      <w:u w:val="none" w:color="000000"/>
      <w:vertAlign w:val="baseline"/>
      <w:lang w:val="en-US"/>
    </w:rPr>
  </w:style>
  <w:style w:type="character" w:default="1" w:styleId="4">
    <w:name w:val="Default Paragraph Font"/>
    <w:uiPriority w:val="0"/>
  </w:style>
  <w:style w:type="table" w:default="1" w:styleId="3">
    <w:name w:val="Normal Table"/>
    <w:semiHidden/>
    <w:uiPriority w:val="0"/>
    <w:tblPr>
      <w:tblLayout w:type="fixed"/>
      <w:tblCellMar>
        <w:top w:w="0" w:type="dxa"/>
        <w:left w:w="108" w:type="dxa"/>
        <w:bottom w:w="0" w:type="dxa"/>
        <w:right w:w="108" w:type="dxa"/>
      </w:tblCellMar>
    </w:tblPr>
  </w:style>
  <w:style w:type="character" w:styleId="5">
    <w:name w:val="Hyperlink"/>
    <w:uiPriority w:val="0"/>
    <w:rPr>
      <w:u w:val="single"/>
    </w:rPr>
  </w:style>
  <w:style w:type="table" w:customStyle="1" w:styleId="6">
    <w:name w:val="Table Normal"/>
    <w:uiPriority w:val="0"/>
    <w:tblPr>
      <w:tblLayout w:type="fixed"/>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uiPriority w:val="0"/>
    <w:pPr>
      <w:keepNext w:val="0"/>
      <w:keepLines w:val="0"/>
      <w:pageBreakBefore w:val="0"/>
      <w:framePr w:w="0"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Neue" w:hAnsi="Helvetica Neue" w:eastAsia="Arial Unicode MS" w:cs="Arial Unicode MS"/>
      <w:color w:val="000000"/>
      <w:spacing w:val="0"/>
      <w:w w:val="100"/>
      <w:kern w:val="0"/>
      <w:position w:val="0"/>
      <w:sz w:val="24"/>
      <w:szCs w:val="24"/>
      <w:u w:val="none" w:color="auto"/>
      <w:vertAlign w:val="baseline"/>
    </w:rPr>
  </w:style>
  <w:style w:type="paragraph" w:styleId="8">
    <w:name w:val="List Paragraph"/>
    <w:uiPriority w:val="0"/>
    <w:pPr>
      <w:keepNext w:val="0"/>
      <w:keepLines w:val="0"/>
      <w:pageBreakBefore w:val="0"/>
      <w:framePr w:w="0"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420"/>
      <w:jc w:val="both"/>
      <w:outlineLvl w:val="9"/>
    </w:pPr>
    <w:rPr>
      <w:rFonts w:ascii="等线" w:hAnsi="等线" w:eastAsia="等线" w:cs="等线"/>
      <w:color w:val="000000"/>
      <w:spacing w:val="0"/>
      <w:w w:val="100"/>
      <w:kern w:val="2"/>
      <w:position w:val="0"/>
      <w:sz w:val="21"/>
      <w:szCs w:val="21"/>
      <w:u w:val="none" w:color="000000"/>
      <w:vertAlign w:val="baseline"/>
      <w:lang w:val="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主题​​">
      <a:majorFont>
        <a:latin typeface="Helvetica Neue"/>
        <a:ea typeface="Helvetica Neue"/>
        <a:cs typeface="Helvetica Neue"/>
      </a:majorFont>
      <a:minorFont>
        <a:latin typeface="Helvetica Neue"/>
        <a:ea typeface="Helvetica Neue"/>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upright="0">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13</TotalTime>
  <ScaleCrop>false</ScaleCrop>
  <LinksUpToDate>false</LinksUpToDate>
  <Application>WPS Office_11.1.0.8976_F1E327BC-269C-435d-A152-05C5408002CA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2019-08-30T02:23:00Z</dcterms:created>
  <dc:creator>xiazh</dc:creator>
  <cp:lastModifiedBy>格格不入</cp:lastModifiedBy>
  <dcterms:modified xsi:type="dcterms:W3CDTF">2019-09-04T08:11:38Z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