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spacing w:line="360" w:lineRule="auto"/>
        <w:jc w:val="center"/>
        <w:rPr>
          <w:rFonts w:hint="default"/>
          <w:sz w:val="30"/>
          <w:szCs w:val="30"/>
          <w:lang w:val="en-US" w:eastAsia="zh-CN"/>
        </w:rPr>
      </w:pPr>
      <w:r>
        <w:rPr>
          <w:rFonts w:hint="eastAsia"/>
          <w:sz w:val="30"/>
          <w:szCs w:val="30"/>
          <w:lang w:val="en-US" w:eastAsia="zh-CN"/>
        </w:rPr>
        <w:t>监测模型文档说明</w:t>
      </w:r>
      <w:bookmarkStart w:id="0" w:name="_GoBack"/>
      <w:bookmarkEnd w:id="0"/>
    </w:p>
    <w:p>
      <w:pPr>
        <w:numPr>
          <w:ilvl w:val="0"/>
          <w:numId w:val="1"/>
        </w:numPr>
        <w:bidi w:val="0"/>
        <w:spacing w:line="360" w:lineRule="auto"/>
        <w:rPr>
          <w:rFonts w:hint="default"/>
          <w:sz w:val="24"/>
          <w:szCs w:val="24"/>
          <w:lang w:val="en-US" w:eastAsia="zh-CN"/>
        </w:rPr>
      </w:pPr>
      <w:r>
        <w:rPr>
          <w:rFonts w:hint="eastAsia"/>
          <w:sz w:val="24"/>
          <w:szCs w:val="24"/>
          <w:lang w:val="en-US" w:eastAsia="zh-CN"/>
        </w:rPr>
        <w:t>方案概要</w:t>
      </w:r>
    </w:p>
    <w:p>
      <w:pPr>
        <w:rPr>
          <w:rFonts w:hint="eastAsia"/>
          <w:sz w:val="24"/>
          <w:szCs w:val="24"/>
          <w:lang w:val="en-US" w:eastAsia="zh-CN"/>
        </w:rPr>
      </w:pPr>
      <w:r>
        <w:rPr>
          <w:rFonts w:hint="eastAsia"/>
          <w:sz w:val="24"/>
          <w:szCs w:val="24"/>
          <w:lang w:val="en-US" w:eastAsia="zh-CN"/>
        </w:rPr>
        <w:t>本方案是绥德税务监管平台建立完善管理体系而设计的监测评估指标体系解决方案。</w:t>
      </w:r>
    </w:p>
    <w:p>
      <w:pPr>
        <w:rPr>
          <w:rFonts w:hint="eastAsia"/>
          <w:sz w:val="24"/>
          <w:szCs w:val="24"/>
          <w:lang w:val="en-US" w:eastAsia="zh-CN"/>
        </w:rPr>
      </w:pPr>
    </w:p>
    <w:p>
      <w:pPr>
        <w:numPr>
          <w:ilvl w:val="0"/>
          <w:numId w:val="1"/>
        </w:numPr>
        <w:ind w:left="0" w:leftChars="0" w:firstLine="0" w:firstLineChars="0"/>
        <w:rPr>
          <w:rFonts w:hint="default"/>
          <w:sz w:val="24"/>
          <w:szCs w:val="24"/>
          <w:lang w:val="en-US" w:eastAsia="zh-CN"/>
        </w:rPr>
      </w:pPr>
      <w:r>
        <w:rPr>
          <w:rFonts w:hint="eastAsia"/>
          <w:sz w:val="24"/>
          <w:szCs w:val="24"/>
          <w:lang w:val="en-US" w:eastAsia="zh-CN"/>
        </w:rPr>
        <w:t>监测指标定义</w:t>
      </w:r>
    </w:p>
    <w:p>
      <w:pPr>
        <w:numPr>
          <w:ilvl w:val="0"/>
          <w:numId w:val="0"/>
        </w:numPr>
        <w:ind w:leftChars="0"/>
        <w:rPr>
          <w:rFonts w:hint="default"/>
          <w:sz w:val="24"/>
          <w:szCs w:val="24"/>
          <w:lang w:val="en-US" w:eastAsia="zh-CN"/>
        </w:rPr>
      </w:pPr>
      <w:r>
        <w:rPr>
          <w:rFonts w:hint="eastAsia"/>
          <w:sz w:val="24"/>
          <w:szCs w:val="24"/>
          <w:lang w:val="en-US" w:eastAsia="zh-CN"/>
        </w:rPr>
        <w:t xml:space="preserve"> 监测模型指标共八类三十项指标，其中监测运单、资金流水、税票、合同这四大模块。</w:t>
      </w:r>
    </w:p>
    <w:p>
      <w:pPr>
        <w:rPr>
          <w:rFonts w:hint="default"/>
          <w:sz w:val="24"/>
          <w:szCs w:val="24"/>
          <w:lang w:val="en-US" w:eastAsia="zh-CN"/>
        </w:rPr>
      </w:pPr>
      <w:r>
        <w:rPr>
          <w:rFonts w:hint="eastAsia"/>
          <w:sz w:val="24"/>
          <w:szCs w:val="24"/>
          <w:lang w:val="en-US" w:eastAsia="zh-CN"/>
        </w:rPr>
        <w:t>监测指标详见附件1《绥德税务监测指标》</w:t>
      </w:r>
    </w:p>
    <w:p>
      <w:pPr>
        <w:numPr>
          <w:ilvl w:val="0"/>
          <w:numId w:val="1"/>
        </w:numPr>
        <w:ind w:left="0" w:leftChars="0" w:firstLine="0" w:firstLineChars="0"/>
        <w:rPr>
          <w:rFonts w:hint="default"/>
          <w:sz w:val="24"/>
          <w:szCs w:val="24"/>
          <w:lang w:val="en-US" w:eastAsia="zh-CN"/>
        </w:rPr>
      </w:pPr>
      <w:r>
        <w:rPr>
          <w:rFonts w:hint="eastAsia"/>
          <w:sz w:val="24"/>
          <w:szCs w:val="24"/>
          <w:lang w:val="en-US" w:eastAsia="zh-CN"/>
        </w:rPr>
        <w:t>风险等级</w:t>
      </w:r>
    </w:p>
    <w:p>
      <w:pPr>
        <w:rPr>
          <w:rFonts w:hint="eastAsia"/>
          <w:sz w:val="24"/>
          <w:szCs w:val="24"/>
          <w:lang w:val="en-US" w:eastAsia="zh-CN"/>
        </w:rPr>
      </w:pPr>
      <w:r>
        <w:rPr>
          <w:rFonts w:hint="eastAsia"/>
          <w:sz w:val="24"/>
          <w:szCs w:val="24"/>
          <w:lang w:val="en-US" w:eastAsia="zh-CN"/>
        </w:rPr>
        <w:t>三等级的风险分为：低风险、中风险和高风险。</w:t>
      </w:r>
    </w:p>
    <w:p>
      <w:pPr>
        <w:rPr>
          <w:rFonts w:hint="eastAsia" w:eastAsiaTheme="minorEastAsia"/>
          <w:sz w:val="24"/>
          <w:szCs w:val="24"/>
          <w:lang w:val="en-US" w:eastAsia="zh-CN"/>
        </w:rPr>
      </w:pPr>
      <w:r>
        <w:rPr>
          <w:sz w:val="24"/>
          <w:szCs w:val="24"/>
        </w:rPr>
        <w:drawing>
          <wp:inline distT="0" distB="0" distL="114300" distR="114300">
            <wp:extent cx="1175385" cy="2783205"/>
            <wp:effectExtent l="0" t="0" r="5715" b="1714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4"/>
                    <a:stretch>
                      <a:fillRect/>
                    </a:stretch>
                  </pic:blipFill>
                  <pic:spPr>
                    <a:xfrm>
                      <a:off x="0" y="0"/>
                      <a:ext cx="1175385" cy="2783205"/>
                    </a:xfrm>
                    <a:prstGeom prst="rect">
                      <a:avLst/>
                    </a:prstGeom>
                    <a:noFill/>
                    <a:ln>
                      <a:noFill/>
                    </a:ln>
                  </pic:spPr>
                </pic:pic>
              </a:graphicData>
            </a:graphic>
          </wp:inline>
        </w:drawing>
      </w:r>
    </w:p>
    <w:p>
      <w:pPr>
        <w:rPr>
          <w:rFonts w:hint="eastAsia"/>
          <w:sz w:val="24"/>
          <w:szCs w:val="24"/>
          <w:lang w:val="en-US" w:eastAsia="zh-CN"/>
        </w:rPr>
      </w:pPr>
    </w:p>
    <w:p>
      <w:pPr>
        <w:rPr>
          <w:rFonts w:hint="eastAsia"/>
          <w:sz w:val="24"/>
          <w:szCs w:val="24"/>
          <w:lang w:val="en-US" w:eastAsia="zh-CN"/>
        </w:rPr>
      </w:pPr>
      <w:r>
        <w:rPr>
          <w:rFonts w:hint="eastAsia"/>
          <w:sz w:val="24"/>
          <w:szCs w:val="24"/>
          <w:lang w:val="en-US" w:eastAsia="zh-CN"/>
        </w:rPr>
        <w:t>权重评分结果为：0~100分的区间，按照区间划分，指定风险等级。</w:t>
      </w:r>
    </w:p>
    <w:p>
      <w:pPr>
        <w:rPr>
          <w:rFonts w:hint="eastAsia" w:eastAsiaTheme="minorEastAsia"/>
          <w:sz w:val="24"/>
          <w:szCs w:val="24"/>
          <w:lang w:val="en-US" w:eastAsia="zh-CN"/>
        </w:rPr>
      </w:pPr>
      <w:r>
        <w:rPr>
          <w:sz w:val="24"/>
          <w:szCs w:val="24"/>
        </w:rPr>
        <w:drawing>
          <wp:inline distT="0" distB="0" distL="114300" distR="114300">
            <wp:extent cx="5008245" cy="1096010"/>
            <wp:effectExtent l="0" t="0" r="190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5008245" cy="1096010"/>
                    </a:xfrm>
                    <a:prstGeom prst="rect">
                      <a:avLst/>
                    </a:prstGeom>
                    <a:noFill/>
                    <a:ln>
                      <a:noFill/>
                    </a:ln>
                  </pic:spPr>
                </pic:pic>
              </a:graphicData>
            </a:graphic>
          </wp:inline>
        </w:drawing>
      </w:r>
      <w:r>
        <w:rPr>
          <w:rFonts w:hint="eastAsia"/>
          <w:sz w:val="24"/>
          <w:szCs w:val="24"/>
          <w:lang w:val="en-US" w:eastAsia="zh-CN"/>
        </w:rPr>
        <w:t xml:space="preserve"> </w:t>
      </w:r>
    </w:p>
    <w:p>
      <w:pPr>
        <w:numPr>
          <w:ilvl w:val="0"/>
          <w:numId w:val="1"/>
        </w:numPr>
        <w:ind w:left="0" w:leftChars="0" w:firstLine="0" w:firstLineChars="0"/>
        <w:rPr>
          <w:rFonts w:hint="default"/>
          <w:sz w:val="24"/>
          <w:szCs w:val="24"/>
          <w:lang w:val="en-US" w:eastAsia="zh-CN"/>
        </w:rPr>
      </w:pPr>
      <w:r>
        <w:rPr>
          <w:rFonts w:hint="eastAsia"/>
          <w:sz w:val="24"/>
          <w:szCs w:val="24"/>
          <w:lang w:val="en-US" w:eastAsia="zh-CN"/>
        </w:rPr>
        <w:t>监测评估规则</w:t>
      </w:r>
    </w:p>
    <w:p>
      <w:pPr>
        <w:numPr>
          <w:ilvl w:val="0"/>
          <w:numId w:val="0"/>
        </w:numPr>
        <w:ind w:leftChars="0"/>
        <w:rPr>
          <w:rFonts w:hint="default"/>
          <w:sz w:val="24"/>
          <w:szCs w:val="24"/>
          <w:lang w:val="en-US" w:eastAsia="zh-CN"/>
        </w:rPr>
      </w:pPr>
      <w:r>
        <w:rPr>
          <w:rFonts w:hint="eastAsia"/>
          <w:sz w:val="24"/>
          <w:szCs w:val="24"/>
          <w:lang w:val="en-US" w:eastAsia="zh-CN"/>
        </w:rPr>
        <w:t xml:space="preserve"> </w:t>
      </w:r>
      <w:r>
        <w:drawing>
          <wp:inline distT="0" distB="0" distL="114300" distR="114300">
            <wp:extent cx="4435475" cy="2372360"/>
            <wp:effectExtent l="0" t="0" r="3175" b="889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6"/>
                    <a:stretch>
                      <a:fillRect/>
                    </a:stretch>
                  </pic:blipFill>
                  <pic:spPr>
                    <a:xfrm>
                      <a:off x="0" y="0"/>
                      <a:ext cx="4435475" cy="2372360"/>
                    </a:xfrm>
                    <a:prstGeom prst="rect">
                      <a:avLst/>
                    </a:prstGeom>
                    <a:noFill/>
                    <a:ln>
                      <a:noFill/>
                    </a:ln>
                  </pic:spPr>
                </pic:pic>
              </a:graphicData>
            </a:graphic>
          </wp:inline>
        </w:drawing>
      </w:r>
      <w:r>
        <w:rPr>
          <w:rFonts w:hint="eastAsia"/>
          <w:sz w:val="24"/>
          <w:szCs w:val="24"/>
          <w:lang w:val="en-US" w:eastAsia="zh-CN"/>
        </w:rPr>
        <w:t xml:space="preserve">  </w:t>
      </w:r>
    </w:p>
    <w:p>
      <w:pPr>
        <w:numPr>
          <w:ilvl w:val="0"/>
          <w:numId w:val="0"/>
        </w:numPr>
        <w:ind w:leftChars="0"/>
      </w:pPr>
    </w:p>
    <w:p>
      <w:pPr>
        <w:numPr>
          <w:ilvl w:val="0"/>
          <w:numId w:val="2"/>
        </w:numPr>
        <w:ind w:left="420" w:leftChars="0" w:hanging="420" w:firstLineChars="0"/>
        <w:rPr>
          <w:rFonts w:hint="default"/>
          <w:lang w:val="en-US" w:eastAsia="zh-CN"/>
        </w:rPr>
      </w:pPr>
      <w:r>
        <w:rPr>
          <w:rFonts w:hint="eastAsia"/>
          <w:lang w:val="en-US" w:eastAsia="zh-CN"/>
        </w:rPr>
        <w:t>监测类别共为8类、分为为：车辆资质、司机资质、合同类、运输轨迹、资金流水、承运车辆司机、税票、业务规模。</w:t>
      </w:r>
    </w:p>
    <w:p>
      <w:pPr>
        <w:numPr>
          <w:ilvl w:val="0"/>
          <w:numId w:val="2"/>
        </w:numPr>
        <w:ind w:left="420" w:leftChars="0" w:hanging="420" w:firstLineChars="0"/>
        <w:rPr>
          <w:rFonts w:hint="default"/>
          <w:lang w:val="en-US" w:eastAsia="zh-CN"/>
        </w:rPr>
      </w:pPr>
      <w:r>
        <w:rPr>
          <w:rFonts w:hint="eastAsia"/>
          <w:lang w:val="en-US" w:eastAsia="zh-CN"/>
        </w:rPr>
        <w:t>监测类别8类包含30项监测指标项，例如：监测类别车辆资质下包含2项指标、司机纸质下包含3项指标、合同类包含5项指标等等。</w:t>
      </w:r>
    </w:p>
    <w:p>
      <w:pPr>
        <w:numPr>
          <w:ilvl w:val="0"/>
          <w:numId w:val="2"/>
        </w:numPr>
        <w:ind w:left="420" w:leftChars="0" w:hanging="420" w:firstLineChars="0"/>
        <w:rPr>
          <w:rFonts w:hint="default"/>
          <w:lang w:val="en-US" w:eastAsia="zh-CN"/>
        </w:rPr>
      </w:pPr>
      <w:r>
        <w:rPr>
          <w:rFonts w:hint="eastAsia"/>
          <w:lang w:val="en-US" w:eastAsia="zh-CN"/>
        </w:rPr>
        <w:t>单类别分别设置类别分值，八类监测分值总和为100分。</w:t>
      </w:r>
    </w:p>
    <w:p>
      <w:pPr>
        <w:numPr>
          <w:ilvl w:val="0"/>
          <w:numId w:val="2"/>
        </w:numPr>
        <w:ind w:left="420" w:leftChars="0" w:hanging="420" w:firstLineChars="0"/>
        <w:rPr>
          <w:rFonts w:hint="default"/>
          <w:lang w:val="en-US" w:eastAsia="zh-CN"/>
        </w:rPr>
      </w:pPr>
      <w:r>
        <w:rPr>
          <w:rFonts w:hint="eastAsia"/>
          <w:lang w:val="en-US" w:eastAsia="zh-CN"/>
        </w:rPr>
        <w:t>单类别分别设置分段排名，八项分段排名首段总和为100分。</w:t>
      </w:r>
    </w:p>
    <w:p>
      <w:pPr>
        <w:numPr>
          <w:ilvl w:val="0"/>
          <w:numId w:val="2"/>
        </w:numPr>
        <w:ind w:left="420" w:leftChars="0" w:hanging="420" w:firstLineChars="0"/>
        <w:rPr>
          <w:rFonts w:hint="default"/>
          <w:lang w:val="en-US" w:eastAsia="zh-CN"/>
        </w:rPr>
      </w:pPr>
      <w:r>
        <w:rPr>
          <w:rFonts w:hint="eastAsia"/>
          <w:lang w:val="en-US" w:eastAsia="zh-CN"/>
        </w:rPr>
        <w:t>单项指标设置分值，该类别下的所有监测项总和为100分。</w:t>
      </w:r>
    </w:p>
    <w:p>
      <w:pPr>
        <w:numPr>
          <w:ilvl w:val="0"/>
          <w:numId w:val="2"/>
        </w:numPr>
        <w:ind w:left="420" w:leftChars="0" w:hanging="420" w:firstLineChars="0"/>
        <w:rPr>
          <w:rFonts w:hint="eastAsia"/>
          <w:sz w:val="24"/>
          <w:szCs w:val="24"/>
          <w:lang w:val="en-US" w:eastAsia="zh-CN"/>
        </w:rPr>
      </w:pPr>
      <w:r>
        <w:rPr>
          <w:rFonts w:hint="eastAsia"/>
          <w:lang w:val="en-US" w:eastAsia="zh-CN"/>
        </w:rPr>
        <w:t>单项指标设置分段排名，类别下的所有排名首段总和为100分。</w:t>
      </w:r>
    </w:p>
    <w:p>
      <w:pPr>
        <w:numPr>
          <w:ilvl w:val="0"/>
          <w:numId w:val="0"/>
        </w:numPr>
        <w:ind w:leftChars="0"/>
        <w:rPr>
          <w:rFonts w:hint="eastAsia"/>
          <w:sz w:val="24"/>
          <w:szCs w:val="24"/>
          <w:lang w:val="en-US" w:eastAsia="zh-CN"/>
        </w:rPr>
      </w:pPr>
      <w:r>
        <w:rPr>
          <w:rFonts w:hint="eastAsia"/>
          <w:sz w:val="24"/>
          <w:szCs w:val="24"/>
          <w:lang w:val="en-US" w:eastAsia="zh-CN"/>
        </w:rPr>
        <w:t>监测规则是采用打分评估方式，满分设定为100分。</w:t>
      </w:r>
    </w:p>
    <w:p>
      <w:pPr>
        <w:numPr>
          <w:ilvl w:val="0"/>
          <w:numId w:val="0"/>
        </w:numPr>
        <w:ind w:leftChars="0"/>
        <w:rPr>
          <w:rFonts w:hint="default"/>
          <w:sz w:val="24"/>
          <w:szCs w:val="24"/>
          <w:lang w:val="en-US" w:eastAsia="zh-CN"/>
        </w:rPr>
      </w:pPr>
      <w:r>
        <w:rPr>
          <w:rFonts w:hint="eastAsia"/>
          <w:sz w:val="24"/>
          <w:szCs w:val="24"/>
          <w:lang w:val="en-US" w:eastAsia="zh-CN"/>
        </w:rPr>
        <w:t>其中，每一项指标监测平台人员可自行在后台指标权重配置设定占比分和排名分值。系统对所有企业用户根据指标得分进行分别排名，按排名先后对企业用户分段打分，总得分为指标项得分总和。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93E03E"/>
    <w:multiLevelType w:val="singleLevel"/>
    <w:tmpl w:val="2A93E03E"/>
    <w:lvl w:ilvl="0" w:tentative="0">
      <w:start w:val="1"/>
      <w:numFmt w:val="bullet"/>
      <w:lvlText w:val=""/>
      <w:lvlJc w:val="left"/>
      <w:pPr>
        <w:ind w:left="420" w:hanging="420"/>
      </w:pPr>
      <w:rPr>
        <w:rFonts w:hint="default" w:ascii="Wingdings" w:hAnsi="Wingdings"/>
      </w:rPr>
    </w:lvl>
  </w:abstractNum>
  <w:abstractNum w:abstractNumId="1">
    <w:nsid w:val="4BEF0C39"/>
    <w:multiLevelType w:val="multilevel"/>
    <w:tmpl w:val="4BEF0C39"/>
    <w:lvl w:ilvl="0" w:tentative="0">
      <w:start w:val="1"/>
      <w:numFmt w:val="decimal"/>
      <w:lvlText w:val="%1."/>
      <w:lvlJc w:val="left"/>
      <w:pPr>
        <w:tabs>
          <w:tab w:val="left" w:pos="312"/>
        </w:tabs>
      </w:pPr>
    </w:lvl>
    <w:lvl w:ilvl="1" w:tentative="0">
      <w:start w:val="1"/>
      <w:numFmt w:val="decimal"/>
      <w:suff w:val="space"/>
      <w:lvlText w:val="%1.%2"/>
      <w:lvlJc w:val="left"/>
      <w:pPr>
        <w:ind w:left="210" w:leftChars="0" w:firstLine="0" w:firstLineChars="0"/>
      </w:pPr>
      <w:rPr>
        <w:rFonts w:hint="default"/>
      </w:rPr>
    </w:lvl>
    <w:lvl w:ilvl="2" w:tentative="0">
      <w:start w:val="1"/>
      <w:numFmt w:val="decimal"/>
      <w:suff w:val="space"/>
      <w:lvlText w:val="%1.%2.%3"/>
      <w:lvlJc w:val="left"/>
      <w:pPr>
        <w:ind w:left="210" w:leftChars="0" w:firstLine="0" w:firstLineChars="0"/>
      </w:pPr>
      <w:rPr>
        <w:rFonts w:hint="default"/>
      </w:rPr>
    </w:lvl>
    <w:lvl w:ilvl="3" w:tentative="0">
      <w:start w:val="1"/>
      <w:numFmt w:val="decimal"/>
      <w:suff w:val="space"/>
      <w:lvlText w:val="%1.%2.%3.%4"/>
      <w:lvlJc w:val="left"/>
      <w:pPr>
        <w:ind w:left="210" w:leftChars="0" w:firstLine="0" w:firstLineChars="0"/>
      </w:pPr>
      <w:rPr>
        <w:rFonts w:hint="default"/>
      </w:rPr>
    </w:lvl>
    <w:lvl w:ilvl="4" w:tentative="0">
      <w:start w:val="1"/>
      <w:numFmt w:val="decimal"/>
      <w:suff w:val="space"/>
      <w:lvlText w:val="%1.%2.%3.%4.%5"/>
      <w:lvlJc w:val="left"/>
      <w:pPr>
        <w:ind w:left="210" w:leftChars="0" w:firstLine="0" w:firstLineChars="0"/>
      </w:pPr>
      <w:rPr>
        <w:rFonts w:hint="default"/>
      </w:rPr>
    </w:lvl>
    <w:lvl w:ilvl="5" w:tentative="0">
      <w:start w:val="1"/>
      <w:numFmt w:val="decimal"/>
      <w:suff w:val="space"/>
      <w:lvlText w:val="%1.%2.%3.%4.%5.%6"/>
      <w:lvlJc w:val="left"/>
      <w:pPr>
        <w:ind w:left="210" w:leftChars="0" w:firstLine="0" w:firstLineChars="0"/>
      </w:pPr>
      <w:rPr>
        <w:rFonts w:hint="default"/>
      </w:rPr>
    </w:lvl>
    <w:lvl w:ilvl="6" w:tentative="0">
      <w:start w:val="1"/>
      <w:numFmt w:val="decimal"/>
      <w:suff w:val="space"/>
      <w:lvlText w:val="%1.%2.%3.%4.%5.%6.%7"/>
      <w:lvlJc w:val="left"/>
      <w:pPr>
        <w:ind w:left="210" w:leftChars="0" w:firstLine="0" w:firstLineChars="0"/>
      </w:pPr>
      <w:rPr>
        <w:rFonts w:hint="default"/>
      </w:rPr>
    </w:lvl>
    <w:lvl w:ilvl="7" w:tentative="0">
      <w:start w:val="1"/>
      <w:numFmt w:val="decimal"/>
      <w:suff w:val="space"/>
      <w:lvlText w:val="%1.%2.%3.%4.%5.%6.%7.%8"/>
      <w:lvlJc w:val="left"/>
      <w:pPr>
        <w:ind w:left="210" w:leftChars="0" w:firstLine="0" w:firstLineChars="0"/>
      </w:pPr>
      <w:rPr>
        <w:rFonts w:hint="default"/>
      </w:rPr>
    </w:lvl>
    <w:lvl w:ilvl="8" w:tentative="0">
      <w:start w:val="1"/>
      <w:numFmt w:val="decimal"/>
      <w:suff w:val="space"/>
      <w:lvlText w:val="%1.%2.%3.%4.%5.%6.%7.%8.%9"/>
      <w:lvlJc w:val="left"/>
      <w:pPr>
        <w:ind w:left="210" w:leftChars="0" w:firstLine="0" w:firstLineChars="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B63C5E"/>
    <w:rsid w:val="068369B0"/>
    <w:rsid w:val="06B30F3C"/>
    <w:rsid w:val="076C32EC"/>
    <w:rsid w:val="081C595F"/>
    <w:rsid w:val="08536F50"/>
    <w:rsid w:val="08A67D3A"/>
    <w:rsid w:val="09D24E8B"/>
    <w:rsid w:val="0A7F7B74"/>
    <w:rsid w:val="0AF92EE5"/>
    <w:rsid w:val="0B5E7B02"/>
    <w:rsid w:val="0B86096D"/>
    <w:rsid w:val="0C2E17D7"/>
    <w:rsid w:val="0CAF746E"/>
    <w:rsid w:val="0CFF67B8"/>
    <w:rsid w:val="0D20094C"/>
    <w:rsid w:val="0D5025C8"/>
    <w:rsid w:val="0E25271B"/>
    <w:rsid w:val="0F1B2C66"/>
    <w:rsid w:val="0F784FE5"/>
    <w:rsid w:val="0FD7286D"/>
    <w:rsid w:val="10011F7E"/>
    <w:rsid w:val="10123E8F"/>
    <w:rsid w:val="1019505D"/>
    <w:rsid w:val="10213D18"/>
    <w:rsid w:val="10231235"/>
    <w:rsid w:val="10551E9B"/>
    <w:rsid w:val="10FF11EE"/>
    <w:rsid w:val="124973D9"/>
    <w:rsid w:val="125109A0"/>
    <w:rsid w:val="129F3AB8"/>
    <w:rsid w:val="12A37362"/>
    <w:rsid w:val="132D2E28"/>
    <w:rsid w:val="139F4716"/>
    <w:rsid w:val="141B048B"/>
    <w:rsid w:val="15304727"/>
    <w:rsid w:val="1658340E"/>
    <w:rsid w:val="16770286"/>
    <w:rsid w:val="168F72D1"/>
    <w:rsid w:val="188B5869"/>
    <w:rsid w:val="19743B19"/>
    <w:rsid w:val="199E774B"/>
    <w:rsid w:val="19CC2BB9"/>
    <w:rsid w:val="1BA33A7C"/>
    <w:rsid w:val="1C8439D2"/>
    <w:rsid w:val="1CF30412"/>
    <w:rsid w:val="1E0F29FD"/>
    <w:rsid w:val="1F67765E"/>
    <w:rsid w:val="1FDE3232"/>
    <w:rsid w:val="20BB2050"/>
    <w:rsid w:val="21E305A6"/>
    <w:rsid w:val="224C4D31"/>
    <w:rsid w:val="230B6FF1"/>
    <w:rsid w:val="23714F24"/>
    <w:rsid w:val="23AC5A2A"/>
    <w:rsid w:val="23CE522A"/>
    <w:rsid w:val="24997664"/>
    <w:rsid w:val="25B36FB4"/>
    <w:rsid w:val="25E80441"/>
    <w:rsid w:val="26003755"/>
    <w:rsid w:val="26093E66"/>
    <w:rsid w:val="265A7B00"/>
    <w:rsid w:val="2661248C"/>
    <w:rsid w:val="26DE089C"/>
    <w:rsid w:val="26F76D21"/>
    <w:rsid w:val="2850095B"/>
    <w:rsid w:val="292F59C4"/>
    <w:rsid w:val="2938796F"/>
    <w:rsid w:val="299E6E9B"/>
    <w:rsid w:val="29C037A2"/>
    <w:rsid w:val="29D50DD1"/>
    <w:rsid w:val="2B864B85"/>
    <w:rsid w:val="2C4326DF"/>
    <w:rsid w:val="2DC219BD"/>
    <w:rsid w:val="2DD6430D"/>
    <w:rsid w:val="2DD963AE"/>
    <w:rsid w:val="2E4E5941"/>
    <w:rsid w:val="2EEE37CE"/>
    <w:rsid w:val="2FB82F1B"/>
    <w:rsid w:val="30452305"/>
    <w:rsid w:val="310809CE"/>
    <w:rsid w:val="31B86664"/>
    <w:rsid w:val="3240098C"/>
    <w:rsid w:val="332F3EC4"/>
    <w:rsid w:val="33F76FC7"/>
    <w:rsid w:val="3438615D"/>
    <w:rsid w:val="34950412"/>
    <w:rsid w:val="35B3557F"/>
    <w:rsid w:val="35D4496A"/>
    <w:rsid w:val="366F6AD2"/>
    <w:rsid w:val="368B1682"/>
    <w:rsid w:val="378D050E"/>
    <w:rsid w:val="392B557D"/>
    <w:rsid w:val="3A033375"/>
    <w:rsid w:val="3AAE5012"/>
    <w:rsid w:val="3B40721A"/>
    <w:rsid w:val="3C55034B"/>
    <w:rsid w:val="3C7D361C"/>
    <w:rsid w:val="3CFB1F5F"/>
    <w:rsid w:val="3D3A48DF"/>
    <w:rsid w:val="3E957A10"/>
    <w:rsid w:val="3FCE04C8"/>
    <w:rsid w:val="3FF7298A"/>
    <w:rsid w:val="40096F75"/>
    <w:rsid w:val="409560D4"/>
    <w:rsid w:val="41543CBF"/>
    <w:rsid w:val="41C33E22"/>
    <w:rsid w:val="41CD4484"/>
    <w:rsid w:val="42180411"/>
    <w:rsid w:val="42183195"/>
    <w:rsid w:val="423927CA"/>
    <w:rsid w:val="42413624"/>
    <w:rsid w:val="42E14098"/>
    <w:rsid w:val="43410EC0"/>
    <w:rsid w:val="44CF144A"/>
    <w:rsid w:val="45C148BA"/>
    <w:rsid w:val="45D84089"/>
    <w:rsid w:val="46385A20"/>
    <w:rsid w:val="464E5D2C"/>
    <w:rsid w:val="46A91665"/>
    <w:rsid w:val="46D23497"/>
    <w:rsid w:val="482356C8"/>
    <w:rsid w:val="49116EF8"/>
    <w:rsid w:val="49854F6F"/>
    <w:rsid w:val="4A3901BA"/>
    <w:rsid w:val="4BD66D55"/>
    <w:rsid w:val="4BDB64EC"/>
    <w:rsid w:val="4C116DE5"/>
    <w:rsid w:val="4C1A040E"/>
    <w:rsid w:val="4CAB579F"/>
    <w:rsid w:val="4CFC6830"/>
    <w:rsid w:val="4D763CD4"/>
    <w:rsid w:val="4DBE2FAA"/>
    <w:rsid w:val="4E7F08A6"/>
    <w:rsid w:val="4EB9758C"/>
    <w:rsid w:val="4FAF4D63"/>
    <w:rsid w:val="51A12A9E"/>
    <w:rsid w:val="5210005C"/>
    <w:rsid w:val="523B6820"/>
    <w:rsid w:val="52D43E08"/>
    <w:rsid w:val="53A8030D"/>
    <w:rsid w:val="53ED723F"/>
    <w:rsid w:val="53F17BFF"/>
    <w:rsid w:val="540D2706"/>
    <w:rsid w:val="540E0629"/>
    <w:rsid w:val="5412631A"/>
    <w:rsid w:val="54245B7B"/>
    <w:rsid w:val="54597877"/>
    <w:rsid w:val="561D1E19"/>
    <w:rsid w:val="56312D47"/>
    <w:rsid w:val="5762605C"/>
    <w:rsid w:val="57864413"/>
    <w:rsid w:val="588A5B27"/>
    <w:rsid w:val="58EC6645"/>
    <w:rsid w:val="59175FB5"/>
    <w:rsid w:val="59A60474"/>
    <w:rsid w:val="5B072031"/>
    <w:rsid w:val="5BA241CA"/>
    <w:rsid w:val="5CE8504B"/>
    <w:rsid w:val="5CF16580"/>
    <w:rsid w:val="5F015967"/>
    <w:rsid w:val="5F9D7C52"/>
    <w:rsid w:val="604B3FD3"/>
    <w:rsid w:val="60570A03"/>
    <w:rsid w:val="605C1CFB"/>
    <w:rsid w:val="6091045E"/>
    <w:rsid w:val="61874C5A"/>
    <w:rsid w:val="619C0189"/>
    <w:rsid w:val="61F55C75"/>
    <w:rsid w:val="63C26DF3"/>
    <w:rsid w:val="63EC1EA8"/>
    <w:rsid w:val="646316B2"/>
    <w:rsid w:val="65300123"/>
    <w:rsid w:val="65337B06"/>
    <w:rsid w:val="65594E05"/>
    <w:rsid w:val="65995177"/>
    <w:rsid w:val="65F045AF"/>
    <w:rsid w:val="66112505"/>
    <w:rsid w:val="663C018D"/>
    <w:rsid w:val="664A1F60"/>
    <w:rsid w:val="67B12C75"/>
    <w:rsid w:val="681C5E0F"/>
    <w:rsid w:val="68B73667"/>
    <w:rsid w:val="6ADC3AA8"/>
    <w:rsid w:val="6C266501"/>
    <w:rsid w:val="6D736C98"/>
    <w:rsid w:val="6DA11C0A"/>
    <w:rsid w:val="6EE4676D"/>
    <w:rsid w:val="70CE2F79"/>
    <w:rsid w:val="70F61E52"/>
    <w:rsid w:val="70FC54E4"/>
    <w:rsid w:val="712633E9"/>
    <w:rsid w:val="71631C19"/>
    <w:rsid w:val="719468F8"/>
    <w:rsid w:val="71BD62EC"/>
    <w:rsid w:val="72124252"/>
    <w:rsid w:val="722A0C7D"/>
    <w:rsid w:val="74112E8E"/>
    <w:rsid w:val="743759F1"/>
    <w:rsid w:val="749F28ED"/>
    <w:rsid w:val="75302291"/>
    <w:rsid w:val="75E14F5E"/>
    <w:rsid w:val="765C56F5"/>
    <w:rsid w:val="766A0225"/>
    <w:rsid w:val="76BC275C"/>
    <w:rsid w:val="76E8462E"/>
    <w:rsid w:val="76F63A3E"/>
    <w:rsid w:val="76FF3CAB"/>
    <w:rsid w:val="776D743D"/>
    <w:rsid w:val="780A3280"/>
    <w:rsid w:val="78154A50"/>
    <w:rsid w:val="782E3D3F"/>
    <w:rsid w:val="787007A8"/>
    <w:rsid w:val="79177762"/>
    <w:rsid w:val="793D5EBF"/>
    <w:rsid w:val="7A06705D"/>
    <w:rsid w:val="7AF87016"/>
    <w:rsid w:val="7CF721B3"/>
    <w:rsid w:val="7D2A7E27"/>
    <w:rsid w:val="7D5145E6"/>
    <w:rsid w:val="7D543EAA"/>
    <w:rsid w:val="7D8065C8"/>
    <w:rsid w:val="7D8940F1"/>
    <w:rsid w:val="7E714AD3"/>
    <w:rsid w:val="7F9263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19</TotalTime>
  <ScaleCrop>false</ScaleCrop>
  <LinksUpToDate>false</LinksUpToDate>
  <CharactersWithSpaces>0</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2019-09-05T02:04:00Z</dcterms:created>
  <dc:creator>xiazh</dc:creator>
  <cp:lastModifiedBy>格格不入</cp:lastModifiedBy>
  <dcterms:modified xsi:type="dcterms:W3CDTF">2019-10-31T12:28:16Z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